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tmd-20260331.htm"/>
      <w:bookmarkStart w:id="1" w:name="ksbtmd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color w:val="000000"/>
          <w:sz w:val="20"/>
        </w:rPr>
        <w:t xml:space="preserve">______________ </w:t>
      </w:r>
      <w:r>
        <w:rPr>
          <w:rFonts w:ascii="Times New Roman" w:hAnsi="Times New Roman"/>
          <w:b/>
          <w:color w:val="000000"/>
          <w:sz w:val="20"/>
        </w:rPr>
        <w:t xml:space="preserve">to </w:t>
      </w:r>
      <w:r>
        <w:rPr>
          <w:rFonts w:ascii="Times New Roman" w:hAnsi="Times New Roman"/>
          <w:color w:val="000000"/>
          <w:sz w:val="20"/>
        </w:rPr>
        <w:t>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001-40128</w:t>
      </w:r>
    </w:p>
    <w:p>
      <w:pPr>
        <w:pStyle w:val="TextBody"/>
        <w:bidi w:val="0"/>
        <w:spacing w:before="120" w:after="283"/>
        <w:jc w:val="center"/>
        <w:rPr/>
      </w:pPr>
      <w:r>
        <w:rPr/>
        <w:drawing>
          <wp:inline distT="0" distB="0" distL="0" distR="0">
            <wp:extent cx="18002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828675"/>
                    </a:xfrm>
                    <a:prstGeom prst="rect">
                      <a:avLst/>
                    </a:prstGeom>
                  </pic:spPr>
                </pic:pic>
              </a:graphicData>
            </a:graphic>
          </wp:inline>
        </w:drawing>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7"/>
        </w:rPr>
      </w:pPr>
      <w:r>
        <w:rPr>
          <w:rFonts w:ascii="Times New Roman" w:hAnsi="Times New Roman"/>
          <w:b/>
          <w:color w:val="000000"/>
          <w:sz w:val="47"/>
        </w:rPr>
        <w:t>biote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85-1791125</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1875 W. Walnut Hill Ln</w:t>
            </w:r>
            <w:r>
              <w:rPr>
                <w:rFonts w:ascii="Times New Roman" w:hAnsi="Times New Roman"/>
                <w:color w:val="000000"/>
                <w:sz w:val="20"/>
              </w:rPr>
              <w:t xml:space="preserve"> </w:t>
            </w:r>
            <w:r>
              <w:rPr>
                <w:rFonts w:ascii="Times New Roman" w:hAnsi="Times New Roman"/>
                <w:b/>
                <w:color w:val="000000"/>
                <w:sz w:val="20"/>
              </w:rPr>
              <w:t>#100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Irving, TX</w:t>
            </w:r>
          </w:p>
        </w:tc>
        <w:tc>
          <w:tcPr>
            <w:tcW w:w="12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75038</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(844) 604-1246</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70" w:type="dxa"/>
        <w:jc w:val="left"/>
        <w:tblInd w:w="0" w:type="dxa"/>
        <w:tblLayout w:type="fixed"/>
        <w:tblCellMar>
          <w:top w:w="28" w:type="dxa"/>
          <w:left w:w="28" w:type="dxa"/>
          <w:bottom w:w="28" w:type="dxa"/>
          <w:right w:w="28" w:type="dxa"/>
        </w:tblCellMar>
      </w:tblPr>
      <w:tblGrid>
        <w:gridCol w:w="3736"/>
        <w:gridCol w:w="146"/>
        <w:gridCol w:w="826"/>
        <w:gridCol w:w="146"/>
        <w:gridCol w:w="3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BTMD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May 6, 2026, the registrant had 30,331,425</w:t>
      </w:r>
      <w:r>
        <w:rPr>
          <w:rFonts w:ascii="Times New Roman" w:hAnsi="Times New Roman"/>
          <w:color w:val="000000"/>
          <w:sz w:val="20"/>
        </w:rPr>
        <w:t xml:space="preserve"> </w:t>
      </w:r>
      <w:r>
        <w:rPr>
          <w:rFonts w:ascii="Times New Roman" w:hAnsi="Times New Roman"/>
          <w:color w:val="000000"/>
          <w:sz w:val="16"/>
        </w:rPr>
        <w:t>shares of Class A common stock, $0.0001 par value per share, outstanding and 7,249,879</w:t>
      </w:r>
      <w:r>
        <w:rPr>
          <w:rFonts w:ascii="Times New Roman" w:hAnsi="Times New Roman"/>
          <w:color w:val="000000"/>
          <w:sz w:val="20"/>
        </w:rPr>
        <w:t xml:space="preserve"> </w:t>
      </w:r>
      <w:r>
        <w:rPr>
          <w:rFonts w:ascii="Times New Roman" w:hAnsi="Times New Roman"/>
          <w:color w:val="000000"/>
          <w:sz w:val="16"/>
        </w:rPr>
        <w:t>shares of Class V voting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Table of Contents</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 Looking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and_comprehensive_income">
              <w:r>
                <w:rPr>
                  <w:rStyle w:val="InternetLink"/>
                  <w:rFonts w:ascii="Times New Roman" w:hAnsi="Times New Roman"/>
                  <w:color w:val="0000FF"/>
                  <w:sz w:val="20"/>
                  <w:u w:val="single"/>
                </w:rPr>
                <w:t>Condensed Consolidated Statements of Operations and Comprehensive Income</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members_equity_deficit">
              <w:r>
                <w:rPr>
                  <w:rStyle w:val="InternetLink"/>
                  <w:rFonts w:ascii="Times New Roman" w:hAnsi="Times New Roman"/>
                  <w:color w:val="0000FF"/>
                  <w:sz w:val="20"/>
                  <w:u w:val="single"/>
                </w:rPr>
                <w:t>Condensed Consolidated Statements of Stockholders’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mts">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b/>
          <w:color w:val="000000"/>
          <w:sz w:val="20"/>
        </w:rPr>
      </w:pPr>
      <w:bookmarkStart w:id="2" w:name="cautionary_note"/>
      <w:bookmarkEnd w:id="2"/>
      <w:r>
        <w:rPr>
          <w:rFonts w:ascii="Times New Roman" w:hAnsi="Times New Roman"/>
          <w:b/>
          <w:color w:val="000000"/>
          <w:sz w:val="20"/>
        </w:rPr>
        <w:t>CAUTIONARY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within the meaning of the Private Securities Litigation Reform Act of 1995. All statements other than statements of historical facts contained in this Quarterly Report may be forward-looking statements. In some cases, you can identify forward-looking statements by terms such as “anticipate,” “believe,” “can,” “continue,” “could,” “estimate,” “expect,” “forecast,” “hope,” “intend,” “may,” “might,” “ongoing,” “plan,” “potential,” “predict,” “project,” “seek,” “should,” “target,” “will,” “would” or the negative of these terms or other similar terms or expressions. Forward-looking statements contained in this Quarterly Report include, but are not limited to statements regarding biote Corp.’s future results of operations and financial position, industry and business trends, business strategy, plans, market growth and management’s expectations, hopes, beliefs, intentions, or strategies regarding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Quarterly Report, and our management’s current expectations, forecasts and assumptions, and involve a number of judgments, risks and uncertainties. Accordingly, forward-looking statements should not be relied upon as representing the Company’s views as of any subsequent date.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You should not place undue reliance on these forward-looking statements. 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 of our dietary supplements to attain significant market acceptance among clinics, practitioners and their patients;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and the ability of certain third parties to effectively support the manufacturing of bioidentical hormones for prescribers;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and our customers’ sensitivity to regulatory, economic, environmental and competitive conditions in certain geographic regions;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increase the use by practitioners and clinics of the Biote Method at the rate that we anticipate or at all;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grow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significant competition we face in our industry;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strategic acquisitions and the implementation of our growth strategies;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heavy regulatory oversight in our industry;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inability to profitably expand in existing markets and into new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possibility that we may be adversely impacted by other economic, business and/or competitive factors;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exchange and interest rates;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risks and uncertainties set forth in documents filed, or to be filed, with the Securities and Exchange Commission (the “SEC”).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the Annual Report on Form 10-K for the year ended December 31, 2025 (the “2025 Form 10-K”), filed with the SEC on March 13, 2026, and Part II, Item 1A. “Risk Factors” in this Quarterly Report as supplemented by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spacing w:before="240" w:after="36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0" w:after="12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amounts) (Unaudited)</w:t>
      </w:r>
    </w:p>
    <w:tbl>
      <w:tblPr>
        <w:tblW w:w="10205" w:type="dxa"/>
        <w:jc w:val="left"/>
        <w:tblInd w:w="0" w:type="dxa"/>
        <w:tblLayout w:type="fixed"/>
        <w:tblCellMar>
          <w:top w:w="28" w:type="dxa"/>
          <w:left w:w="28" w:type="dxa"/>
          <w:bottom w:w="28" w:type="dxa"/>
          <w:right w:w="28" w:type="dxa"/>
        </w:tblCellMar>
      </w:tblPr>
      <w:tblGrid>
        <w:gridCol w:w="7281"/>
        <w:gridCol w:w="146"/>
        <w:gridCol w:w="196"/>
        <w:gridCol w:w="691"/>
        <w:gridCol w:w="166"/>
        <w:gridCol w:w="146"/>
        <w:gridCol w:w="213"/>
        <w:gridCol w:w="753"/>
        <w:gridCol w:w="613"/>
      </w:tblGrid>
      <w:tr>
        <w:trPr/>
        <w:tc>
          <w:tcPr>
            <w:tcW w:w="7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54,670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Term loan,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repurchase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158,010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(See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A common stock, $0.0001</w:t>
            </w:r>
            <w:r>
              <w:rPr>
                <w:rFonts w:ascii="Times New Roman" w:hAnsi="Times New Roman"/>
                <w:color w:val="000000"/>
                <w:sz w:val="20"/>
              </w:rPr>
              <w:t> </w:t>
            </w:r>
            <w:r>
              <w:rPr>
                <w:rFonts w:ascii="Times New Roman" w:hAnsi="Times New Roman"/>
                <w:color w:val="000000"/>
                <w:sz w:val="18"/>
              </w:rPr>
              <w:t>par value; 600,000,000</w:t>
            </w:r>
            <w:r>
              <w:rPr>
                <w:rFonts w:ascii="Times New Roman" w:hAnsi="Times New Roman"/>
                <w:color w:val="000000"/>
                <w:sz w:val="20"/>
              </w:rPr>
              <w:t> </w:t>
            </w:r>
            <w:r>
              <w:rPr>
                <w:rFonts w:ascii="Times New Roman" w:hAnsi="Times New Roman"/>
                <w:color w:val="000000"/>
                <w:sz w:val="18"/>
              </w:rPr>
              <w:t>shares authorized; 31,574,479</w:t>
            </w:r>
            <w:r>
              <w:rPr>
                <w:rFonts w:ascii="Times New Roman" w:hAnsi="Times New Roman"/>
                <w:color w:val="000000"/>
                <w:sz w:val="20"/>
              </w:rPr>
              <w:t> </w:t>
            </w:r>
            <w:r>
              <w:rPr>
                <w:rFonts w:ascii="Times New Roman" w:hAnsi="Times New Roman"/>
                <w:color w:val="000000"/>
                <w:sz w:val="18"/>
              </w:rPr>
              <w:t>and 32,300,867</w:t>
            </w:r>
            <w:r>
              <w:rPr>
                <w:rFonts w:ascii="Times New Roman" w:hAnsi="Times New Roman"/>
                <w:color w:val="000000"/>
                <w:sz w:val="20"/>
              </w:rPr>
              <w:t> </w:t>
            </w:r>
            <w:r>
              <w:rPr>
                <w:rFonts w:ascii="Times New Roman" w:hAnsi="Times New Roman"/>
                <w:color w:val="000000"/>
                <w:sz w:val="18"/>
              </w:rPr>
              <w:t>shares issued, 29,986,979</w:t>
            </w:r>
            <w:r>
              <w:rPr>
                <w:rFonts w:ascii="Times New Roman" w:hAnsi="Times New Roman"/>
                <w:color w:val="000000"/>
                <w:sz w:val="20"/>
              </w:rPr>
              <w:t> </w:t>
            </w:r>
            <w:r>
              <w:rPr>
                <w:rFonts w:ascii="Times New Roman" w:hAnsi="Times New Roman"/>
                <w:color w:val="000000"/>
                <w:sz w:val="18"/>
              </w:rPr>
              <w:t>and 30,713,367</w:t>
            </w:r>
            <w:r>
              <w:rPr>
                <w:rFonts w:ascii="Times New Roman" w:hAnsi="Times New Roman"/>
                <w:color w:val="000000"/>
                <w:sz w:val="20"/>
              </w:rPr>
              <w:t> </w:t>
            </w:r>
            <w:r>
              <w:rPr>
                <w:rFonts w:ascii="Times New Roman" w:hAnsi="Times New Roman"/>
                <w:color w:val="000000"/>
                <w:sz w:val="18"/>
              </w:rPr>
              <w:t>shares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V voting stock, $0.0001</w:t>
            </w:r>
            <w:r>
              <w:rPr>
                <w:rFonts w:ascii="Times New Roman" w:hAnsi="Times New Roman"/>
                <w:color w:val="000000"/>
                <w:sz w:val="20"/>
              </w:rPr>
              <w:t> </w:t>
            </w:r>
            <w:r>
              <w:rPr>
                <w:rFonts w:ascii="Times New Roman" w:hAnsi="Times New Roman"/>
                <w:color w:val="000000"/>
                <w:sz w:val="18"/>
              </w:rPr>
              <w:t>par value; 100,000,000</w:t>
            </w:r>
            <w:r>
              <w:rPr>
                <w:rFonts w:ascii="Times New Roman" w:hAnsi="Times New Roman"/>
                <w:color w:val="000000"/>
                <w:sz w:val="20"/>
              </w:rPr>
              <w:t> </w:t>
            </w:r>
            <w:r>
              <w:rPr>
                <w:rFonts w:ascii="Times New Roman" w:hAnsi="Times New Roman"/>
                <w:color w:val="000000"/>
                <w:sz w:val="18"/>
              </w:rPr>
              <w:t>shares authorized; 7,249,879</w:t>
            </w:r>
            <w:r>
              <w:rPr>
                <w:rFonts w:ascii="Times New Roman" w:hAnsi="Times New Roman"/>
                <w:color w:val="000000"/>
                <w:sz w:val="20"/>
              </w:rPr>
              <w:t> </w:t>
            </w:r>
            <w:r>
              <w:rPr>
                <w:rFonts w:ascii="Times New Roman" w:hAnsi="Times New Roman"/>
                <w:color w:val="000000"/>
                <w:sz w:val="18"/>
              </w:rPr>
              <w:t>shares issued, 5,221,653</w:t>
            </w:r>
            <w:r>
              <w:rPr>
                <w:rFonts w:ascii="Times New Roman" w:hAnsi="Times New Roman"/>
                <w:color w:val="000000"/>
                <w:sz w:val="20"/>
              </w:rPr>
              <w:t> </w:t>
            </w:r>
            <w:r>
              <w:rPr>
                <w:rFonts w:ascii="Times New Roman" w:hAnsi="Times New Roman"/>
                <w:color w:val="000000"/>
                <w:sz w:val="18"/>
              </w:rPr>
              <w:t>shares outstanding each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biote Corp.’s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(50,397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6" w:name="income_and_comprehensive_income"/>
      <w:bookmarkEnd w:id="6"/>
      <w:r>
        <w:rPr>
          <w:rFonts w:ascii="Times New Roman" w:hAnsi="Times New Roman"/>
          <w:b/>
          <w:color w:val="000000"/>
          <w:sz w:val="20"/>
        </w:rPr>
        <w:t>CONDENSED CONSOLIDATED STATEMENTS OF OPERATIONS AND COMPREHENSIVE INCOME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amounts) (Unaudited)</w:t>
      </w:r>
    </w:p>
    <w:tbl>
      <w:tblPr>
        <w:tblW w:w="8254" w:type="dxa"/>
        <w:jc w:val="left"/>
        <w:tblInd w:w="0" w:type="dxa"/>
        <w:tblLayout w:type="fixed"/>
        <w:tblCellMar>
          <w:top w:w="28" w:type="dxa"/>
          <w:left w:w="28" w:type="dxa"/>
          <w:bottom w:w="28" w:type="dxa"/>
          <w:right w:w="28" w:type="dxa"/>
        </w:tblCellMar>
      </w:tblPr>
      <w:tblGrid>
        <w:gridCol w:w="4691"/>
        <w:gridCol w:w="146"/>
        <w:gridCol w:w="211"/>
        <w:gridCol w:w="1036"/>
        <w:gridCol w:w="166"/>
        <w:gridCol w:w="146"/>
        <w:gridCol w:w="211"/>
        <w:gridCol w:w="1036"/>
        <w:gridCol w:w="61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biote Corp.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31,485,777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35,995,490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36,952,961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7" w:name="statements_of_members_equity_deficit"/>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 (Unaudited)</w:t>
      </w:r>
    </w:p>
    <w:p>
      <w:pPr>
        <w:pStyle w:val="TextBody"/>
        <w:bidi w:val="0"/>
        <w:jc w:val="center"/>
        <w:rPr/>
      </w:pPr>
      <w:r>
        <w:rPr/>
        <w:t> </w:t>
      </w:r>
    </w:p>
    <w:tbl>
      <w:tblPr>
        <w:tblW w:w="12591" w:type="dxa"/>
        <w:jc w:val="left"/>
        <w:tblInd w:w="0" w:type="dxa"/>
        <w:tblLayout w:type="fixed"/>
        <w:tblCellMar>
          <w:top w:w="28" w:type="dxa"/>
          <w:left w:w="28" w:type="dxa"/>
          <w:bottom w:w="28" w:type="dxa"/>
          <w:right w:w="28" w:type="dxa"/>
        </w:tblCellMar>
      </w:tblPr>
      <w:tblGrid>
        <w:gridCol w:w="1371"/>
        <w:gridCol w:w="146"/>
        <w:gridCol w:w="916"/>
        <w:gridCol w:w="166"/>
        <w:gridCol w:w="206"/>
        <w:gridCol w:w="365"/>
        <w:gridCol w:w="146"/>
        <w:gridCol w:w="146"/>
        <w:gridCol w:w="826"/>
        <w:gridCol w:w="146"/>
        <w:gridCol w:w="206"/>
        <w:gridCol w:w="365"/>
        <w:gridCol w:w="146"/>
        <w:gridCol w:w="271"/>
        <w:gridCol w:w="480"/>
        <w:gridCol w:w="146"/>
        <w:gridCol w:w="199"/>
        <w:gridCol w:w="672"/>
        <w:gridCol w:w="166"/>
        <w:gridCol w:w="368"/>
        <w:gridCol w:w="653"/>
        <w:gridCol w:w="166"/>
        <w:gridCol w:w="196"/>
        <w:gridCol w:w="661"/>
        <w:gridCol w:w="166"/>
        <w:gridCol w:w="202"/>
        <w:gridCol w:w="684"/>
        <w:gridCol w:w="166"/>
        <w:gridCol w:w="216"/>
        <w:gridCol w:w="565"/>
        <w:gridCol w:w="166"/>
        <w:gridCol w:w="202"/>
        <w:gridCol w:w="684"/>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4" w:type="dxa"/>
            <w:gridSpan w:val="11"/>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V Voting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Attributable 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biote Corp.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A common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29,986,979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 (Unaudited)</w:t>
      </w:r>
    </w:p>
    <w:p>
      <w:pPr>
        <w:pStyle w:val="TextBody"/>
        <w:bidi w:val="0"/>
        <w:jc w:val="center"/>
        <w:rPr/>
      </w:pPr>
      <w:r>
        <w:rPr/>
        <w:t> </w:t>
      </w:r>
    </w:p>
    <w:tbl>
      <w:tblPr>
        <w:tblW w:w="12825" w:type="dxa"/>
        <w:jc w:val="left"/>
        <w:tblInd w:w="0" w:type="dxa"/>
        <w:tblLayout w:type="fixed"/>
        <w:tblCellMar>
          <w:top w:w="28" w:type="dxa"/>
          <w:left w:w="28" w:type="dxa"/>
          <w:bottom w:w="28" w:type="dxa"/>
          <w:right w:w="28" w:type="dxa"/>
        </w:tblCellMar>
      </w:tblPr>
      <w:tblGrid>
        <w:gridCol w:w="1371"/>
        <w:gridCol w:w="146"/>
        <w:gridCol w:w="916"/>
        <w:gridCol w:w="146"/>
        <w:gridCol w:w="206"/>
        <w:gridCol w:w="365"/>
        <w:gridCol w:w="146"/>
        <w:gridCol w:w="146"/>
        <w:gridCol w:w="826"/>
        <w:gridCol w:w="146"/>
        <w:gridCol w:w="206"/>
        <w:gridCol w:w="365"/>
        <w:gridCol w:w="146"/>
        <w:gridCol w:w="271"/>
        <w:gridCol w:w="480"/>
        <w:gridCol w:w="146"/>
        <w:gridCol w:w="196"/>
        <w:gridCol w:w="751"/>
        <w:gridCol w:w="166"/>
        <w:gridCol w:w="146"/>
        <w:gridCol w:w="368"/>
        <w:gridCol w:w="653"/>
        <w:gridCol w:w="166"/>
        <w:gridCol w:w="196"/>
        <w:gridCol w:w="571"/>
        <w:gridCol w:w="166"/>
        <w:gridCol w:w="196"/>
        <w:gridCol w:w="751"/>
        <w:gridCol w:w="166"/>
        <w:gridCol w:w="216"/>
        <w:gridCol w:w="565"/>
        <w:gridCol w:w="166"/>
        <w:gridCol w:w="196"/>
        <w:gridCol w:w="75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4" w:type="dxa"/>
            <w:gridSpan w:val="11"/>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V Voting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Attributable 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biote Corp.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31,485,777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31,485,777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(Unaudited)</w:t>
      </w:r>
    </w:p>
    <w:tbl>
      <w:tblPr>
        <w:tblW w:w="9876" w:type="dxa"/>
        <w:jc w:val="left"/>
        <w:tblInd w:w="0" w:type="dxa"/>
        <w:tblLayout w:type="fixed"/>
        <w:tblCellMar>
          <w:top w:w="28" w:type="dxa"/>
          <w:left w:w="28" w:type="dxa"/>
          <w:bottom w:w="28" w:type="dxa"/>
          <w:right w:w="28" w:type="dxa"/>
        </w:tblCellMar>
      </w:tblPr>
      <w:tblGrid>
        <w:gridCol w:w="6721"/>
        <w:gridCol w:w="146"/>
        <w:gridCol w:w="229"/>
        <w:gridCol w:w="801"/>
        <w:gridCol w:w="180"/>
        <w:gridCol w:w="158"/>
        <w:gridCol w:w="229"/>
        <w:gridCol w:w="80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(recovery)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(recovery of)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on share repurchase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pursuant to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repurchase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biote Corp.</w:t>
      </w:r>
    </w:p>
    <w:p>
      <w:pPr>
        <w:pStyle w:val="TextBody"/>
        <w:bidi w:val="0"/>
        <w:jc w:val="center"/>
        <w:rPr/>
      </w:pPr>
      <w:r>
        <w:rPr/>
        <w:t> </w:t>
      </w:r>
    </w:p>
    <w:p>
      <w:pPr>
        <w:pStyle w:val="TextBody"/>
        <w:bidi w:val="0"/>
        <w:spacing w:before="0" w:after="240"/>
        <w:jc w:val="center"/>
        <w:rPr>
          <w:rFonts w:ascii="Times New Roman" w:hAnsi="Times New Roman"/>
          <w:b/>
          <w:color w:val="000000"/>
          <w:sz w:val="20"/>
        </w:rPr>
      </w:pPr>
      <w:bookmarkStart w:id="9" w:name="notes_to_consolidated_financial_stmts"/>
      <w:bookmarkEnd w:id="9"/>
      <w:r>
        <w:rPr>
          <w:rFonts w:ascii="Times New Roman" w:hAnsi="Times New Roman"/>
          <w:b/>
          <w:color w:val="000000"/>
          <w:sz w:val="20"/>
        </w:rPr>
        <w:t>NOTES TO CONDENSED CONSOLIDATED FINANCIAL STATEMENTS (UNAUDITED)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1.</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DESCRIPTION OF BUSINESS AND BASIS OF PRESENTATION</w:t>
      </w:r>
    </w:p>
    <w:p>
      <w:pPr>
        <w:pStyle w:val="TextBody"/>
        <w:bidi w:val="0"/>
        <w:spacing w:before="0" w:after="120"/>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—biote Corp. (inclusive of its consolidated subsidiaries, the “Company” or “Biote”) is a Delaware incorporated company headquartered in Irving, Texas. The Company was founded in 2012 and trains physicians and nurse practitioners in therapeutic wellness and hormone optimization using bioidentical hormone replacement pellet therapy in men and women experiencing hormonal imbalance.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26, 2022 (the “Closing Date”), BioTE Holdings, LLC (“Holdings,” inclusive of its direct and indirect subsidiaries, the “BioTE Companies,” and as to its members, the “Members”) completed a series of transactions (the “Business Combination”) with Haymaker Acquisition Corp. III (“Haymaker”), Haymaker Sponsor III LLC (the “Sponsor”), BioTE Management, LLC, Dr. Gary S. Donovitz, in his individual capacity, and Teresa S. Weber, in her capacity as the Members’ representative (in such capacity, the “Members’ Representative”) pursuant to the business combination agreement (the “Business Combination Agreement”) dated December 13, 2021 (the “Closing”). As a result of the Business Combination, Haymaker was renamed “biote Corp.”</w:t>
      </w:r>
    </w:p>
    <w:p>
      <w:pPr>
        <w:pStyle w:val="TextBody"/>
        <w:bidi w:val="0"/>
        <w:spacing w:before="0" w:after="120"/>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—The unaudited condensed consolidated financial statements include the accounts of Biote and its subsidiaries and have been prepared in accordance with accounting principles generally accepted in the United States (“U.S. GAAP”) for interim financial reporting and therefore do not include all information and disclosures required by U.S. GAAP for annual consolidated financial statements. The unaudited condensed consolidated balance sheet as of December 31, 2025, was derived from audited annual financial statements but does not contain all of the footnote disclosures from the annual financial statements. All intercompany balances and transactions have been eliminated in consolidation. In the opinion of the Company, the accompanying unaudited condensed consolidated financial statements contain all adjustments, consisting of only normal recurring adjustments, necessary for a fair presentation of its financial position and its results of operations, changes in stockholders’ equity (deficit) and cash flows. The accompanying unaudited condensed consolidated financial statements and related financial information should be read in conjunction with the audited consolidated financial statements and the related notes thereto included in the 2025 Form 10-K.</w:t>
      </w:r>
    </w:p>
    <w:p>
      <w:pPr>
        <w:pStyle w:val="TextBody"/>
        <w:bidi w:val="0"/>
        <w:spacing w:before="0" w:after="12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The Company regularly evaluates estimates and assumptions used for determining the collectability of accounts receivable, inventory valuations, fair value of long-lived assets, goodwill valuations, contingent liability valuations and share-based compensation.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results of operations for the three months ended March 31, 2026 are not necessarily indicative of the results that may be expected for the entire year.</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accounting policies of the Company are set forth in Note 2 Summary of Significant Accounting Policies of Notes to Consolidated Financial Statements in the Company’s 2025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changes to our significant accounting policies described in the 2025 Form 10-K that have had a material impact on the Company’s unaudited condensed consolidated financial statements and related notes, other than the selected information below.</w:t>
      </w:r>
    </w:p>
    <w:p>
      <w:pPr>
        <w:pStyle w:val="TextBody"/>
        <w:bidi w:val="0"/>
        <w:spacing w:before="0" w:after="120"/>
        <w:jc w:val="left"/>
        <w:rPr>
          <w:rFonts w:ascii="Times New Roman" w:hAnsi="Times New Roman"/>
          <w:sz w:val="20"/>
        </w:rPr>
      </w:pPr>
      <w:r>
        <w:rPr>
          <w:rFonts w:ascii="Times New Roman" w:hAnsi="Times New Roman"/>
          <w:b/>
          <w:color w:val="000000"/>
          <w:sz w:val="20"/>
        </w:rPr>
        <w:t>Other Current Assets</w:t>
      </w:r>
      <w:r>
        <w:rPr>
          <w:rFonts w:ascii="Times New Roman" w:hAnsi="Times New Roman"/>
          <w:color w:val="000000"/>
          <w:sz w:val="20"/>
        </w:rPr>
        <w:t>—Total other current assets consisted of the following:</w:t>
      </w:r>
    </w:p>
    <w:tbl>
      <w:tblPr>
        <w:tblW w:w="5125" w:type="dxa"/>
        <w:jc w:val="left"/>
        <w:tblInd w:w="0" w:type="dxa"/>
        <w:tblLayout w:type="fixed"/>
        <w:tblCellMar>
          <w:top w:w="28" w:type="dxa"/>
          <w:left w:w="28" w:type="dxa"/>
          <w:bottom w:w="28" w:type="dxa"/>
          <w:right w:w="28" w:type="dxa"/>
        </w:tblCellMar>
      </w:tblPr>
      <w:tblGrid>
        <w:gridCol w:w="2346"/>
        <w:gridCol w:w="146"/>
        <w:gridCol w:w="230"/>
        <w:gridCol w:w="625"/>
        <w:gridCol w:w="146"/>
        <w:gridCol w:w="146"/>
        <w:gridCol w:w="294"/>
        <w:gridCol w:w="80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Prepaid expenses include software and technology licensing agreements, insurance premiums and other advance payments for services to be received over the next 12 months. Advances are comprised of deposit payments to vendors for inventory purchase orders to be received in the next 12 months. Other assets consist of interest earned, but not received, on the Company’s money market account. </w:t>
      </w:r>
    </w:p>
    <w:p>
      <w:pPr>
        <w:pStyle w:val="TextBody"/>
        <w:bidi w:val="0"/>
        <w:spacing w:before="0" w:after="120"/>
        <w:jc w:val="left"/>
        <w:rPr>
          <w:rFonts w:ascii="Times New Roman" w:hAnsi="Times New Roman"/>
          <w:sz w:val="20"/>
        </w:rPr>
      </w:pPr>
      <w:r>
        <w:rPr>
          <w:rFonts w:ascii="Times New Roman" w:hAnsi="Times New Roman"/>
          <w:b/>
          <w:color w:val="000000"/>
          <w:sz w:val="20"/>
        </w:rPr>
        <w:t>Share Repurchase Liabilities—</w:t>
      </w:r>
      <w:r>
        <w:rPr>
          <w:rFonts w:ascii="Times New Roman" w:hAnsi="Times New Roman"/>
          <w:color w:val="000000"/>
          <w:sz w:val="20"/>
        </w:rPr>
        <w:t xml:space="preserve">Share repurchase liabilities were the result of settlements with former shareholders. These liabilities were accounted for as forward share repurchase contracts. The forward share repurchase liabilities were initially measured at the present value of the settlement amounts discounted at the rate implicit at inception and subsequently remeasured using the effective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rate method. Changes in the carrying amounts of the forward share repurchase liabilities are recorded in interest expense in the unaudited condensed consolidated statement of operations and comprehensive income. The reduction of Class A common stock outstanding was recorded at the inception of the forward share repurchase contracts and factored into the calculation of weighted average shares outstanding at that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March 31, 2026, the Company repurchased the remaining 6.1 million shares of its Class V voting stock for $18.5 million, which fully satisfied the Company’s share repurchase liability. During the year ended December 31, 2025, the Company repurchased a total of approximately 8.2 million shares of its Class V voting stock for $37.6 million. </w:t>
      </w:r>
    </w:p>
    <w:p>
      <w:pPr>
        <w:pStyle w:val="TextBody"/>
        <w:bidi w:val="0"/>
        <w:spacing w:before="0" w:after="120"/>
        <w:jc w:val="left"/>
        <w:rPr>
          <w:rFonts w:ascii="Times New Roman" w:hAnsi="Times New Roman"/>
          <w:sz w:val="20"/>
        </w:rPr>
      </w:pPr>
      <w:r>
        <w:rPr>
          <w:rFonts w:ascii="Times New Roman" w:hAnsi="Times New Roman"/>
          <w:b/>
          <w:color w:val="000000"/>
          <w:sz w:val="20"/>
        </w:rPr>
        <w:t>Defined Contribution Retirement Plan—</w:t>
      </w:r>
      <w:r>
        <w:rPr>
          <w:rFonts w:ascii="Times New Roman" w:hAnsi="Times New Roman"/>
          <w:color w:val="000000"/>
          <w:sz w:val="20"/>
        </w:rPr>
        <w:t>Effective January 1, 2021, the Company offers participation in the BioTE Medical, LLC (“BioTE Medical”) 401(k) Plan (the “401(k) Plan”), a defined contribution plan providing retirement benefits to eligible employees. Eligible employees may contribute a portion of their annual compensation to the 401(k) Plan, subject to the maximum annual amounts as set periodically by the Internal Revenue Service. The Company makes a safe harbor, non-elective contribution to the 401(k) Plan equal to 3% of each participant’s eligible employee compensation. Safe harbor contributions vest immediately for each participant.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made safe harbor contributions under the 401(k) Plan of $0.2 million during each of the three months ended March 31, 2026 and 2025, respectively. Safe harbor contributions are included in selling, general and administrative expense in the unaudited condensed consolidated statements of operations and comprehensive income.</w:t>
      </w:r>
    </w:p>
    <w:p>
      <w:pPr>
        <w:pStyle w:val="TextBody"/>
        <w:bidi w:val="0"/>
        <w:spacing w:before="0" w:after="120"/>
        <w:jc w:val="left"/>
        <w:rPr>
          <w:rFonts w:ascii="Times New Roman" w:hAnsi="Times New Roman"/>
          <w:sz w:val="20"/>
        </w:rPr>
      </w:pPr>
      <w:r>
        <w:rPr>
          <w:rFonts w:ascii="Times New Roman" w:hAnsi="Times New Roman"/>
          <w:b/>
          <w:color w:val="000000"/>
          <w:sz w:val="20"/>
        </w:rPr>
        <w:t>Concentrations</w:t>
      </w:r>
      <w:r>
        <w:rPr>
          <w:rFonts w:ascii="Times New Roman" w:hAnsi="Times New Roman"/>
          <w:color w:val="000000"/>
          <w:sz w:val="20"/>
        </w:rPr>
        <w:t>—Financial instruments that potentially subject the Company to concentrations of credit risk consist primarily of cash, accounts receivable, credit agreements, and inventory purchases. The Company’s cash balances exceed those that are federally insured. To date, the Company has not recognized any losses caused by uninsured balances.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and December 31, 2025, 100% of the Company’s outstanding debt and availability under revolving loans was from one lender. A failure of the counterparty to perform could result in the loss of access to the available borrowing capacity under the revolving loans.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Inventory purchases from three vendors totaled 82.2% and four vendors totaled 96.1% for the three months ended March 31, 2026 and 2025, respectively. Due to the nature of the markets and availability of alternative suppliers, the Company does not believe the loss of any one vendor would have a material adverse impact on its financial position, results of operations or cash flows for any significant period of time.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customers are those which represent more than 10% of the Company’s total revenue or gross accounts receivable balance. The Company did not have any customers that accounted for 10% or more of total revenues for the three months ended March 31, 2026 and 2025. The Company did not have any customers that accounted for more than 10% of its gross accounts receivable as of March 31, 2026 and December 31, 2025.</w:t>
      </w:r>
    </w:p>
    <w:p>
      <w:pPr>
        <w:pStyle w:val="TextBody"/>
        <w:bidi w:val="0"/>
        <w:spacing w:before="0" w:after="120"/>
        <w:jc w:val="left"/>
        <w:rPr>
          <w:rFonts w:ascii="Times New Roman" w:hAnsi="Times New Roman"/>
          <w:sz w:val="20"/>
        </w:rPr>
      </w:pPr>
      <w:r>
        <w:rPr>
          <w:rFonts w:ascii="Times New Roman" w:hAnsi="Times New Roman"/>
          <w:b/>
          <w:color w:val="000000"/>
          <w:sz w:val="20"/>
        </w:rPr>
        <w:t>Recent Accounting Pronouncements Not Yet Adopted</w:t>
      </w: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which is intended to improve the navigability of the guidance in ASC 270 and clarify when it applies. ASU 2025-11 also adds lists to ASC 270 of the interim disclosures required by all other codification topics, and establishes a principle under which an entity must disclose events since the end of the last annual reporting period that have a material impact on the entity. ASU 2025-11 is effective for annual reporting periods beginning after December 15, 2027. The Company is assessing the effect of this update on its consolidated financial statements and related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Intangibles—Goodwill and Other—Internal-Use Software (Subtopic 650-40): Targeted Improvements to the Accounting for Internal-Use Software </w:t>
      </w:r>
      <w:r>
        <w:rPr>
          <w:rFonts w:ascii="Times New Roman" w:hAnsi="Times New Roman"/>
          <w:color w:val="000000"/>
          <w:sz w:val="20"/>
        </w:rPr>
        <w:t>(“ASU 2025-06”), which modernizes the accounting for internal-use software costs by removing all references to prescriptive and sequential software development stages. Under this guidance, capitalization of eligible costs begins when management has authorized and committed to funding the software project and it is probable the project will be completed and the software will be used for the function intended. ASU 2025-06 is effective for annual reporting periods beginning after December 15, 2027, using a prospective approach, modified transition approach for in-process projects or a retrospective approach. Early adoption is permitted. The Company is assessing the effect of this update on its consolidated financial statements and related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 (“ASU 2024-03”)</w:t>
      </w:r>
      <w:r>
        <w:rPr>
          <w:rFonts w:ascii="Times New Roman" w:hAnsi="Times New Roman"/>
          <w:color w:val="000000"/>
          <w:sz w:val="20"/>
        </w:rPr>
        <w:t xml:space="preserve">, which improves financial reporting by requiring disclosure of additional information about certain costs and expenses in the notes to the interim and annual financial statements. The amendments in this ASU are applied either prospectively to financial statements issued after the effective date or retrospectively to any or all prior periods presented in the financial statements. ASU 2024-03 is effective for annual periods beginning after December 15, 2026, and interim periods within annual reporting periods beginning after December 15, 2027. Early adoption is permitted. The Company is evaluating the impact of this new guidance on its consolidated financial statements. </w:t>
      </w:r>
    </w:p>
    <w:p>
      <w:pPr>
        <w:pStyle w:val="TextBody"/>
        <w:bidi w:val="0"/>
        <w:jc w:val="left"/>
        <w:rPr>
          <w:rFonts w:ascii="Times New Roman" w:hAnsi="Times New Roman"/>
          <w:color w:val="000000"/>
          <w:sz w:val="20"/>
        </w:rPr>
      </w:pPr>
      <w:r>
        <w:rPr>
          <w:rFonts w:ascii="Times New Roman" w:hAnsi="Times New Roman"/>
          <w:color w:val="000000"/>
          <w:sz w:val="20"/>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recognized for each revenue stream was as follows:</w:t>
      </w:r>
    </w:p>
    <w:tbl>
      <w:tblPr>
        <w:tblW w:w="4644" w:type="dxa"/>
        <w:jc w:val="left"/>
        <w:tblInd w:w="0" w:type="dxa"/>
        <w:tblLayout w:type="fixed"/>
        <w:tblCellMar>
          <w:top w:w="28" w:type="dxa"/>
          <w:left w:w="28" w:type="dxa"/>
          <w:bottom w:w="28" w:type="dxa"/>
          <w:right w:w="28" w:type="dxa"/>
        </w:tblCellMar>
      </w:tblPr>
      <w:tblGrid>
        <w:gridCol w:w="2041"/>
        <w:gridCol w:w="146"/>
        <w:gridCol w:w="211"/>
        <w:gridCol w:w="676"/>
        <w:gridCol w:w="146"/>
        <w:gridCol w:w="146"/>
        <w:gridCol w:w="211"/>
        <w:gridCol w:w="676"/>
        <w:gridCol w:w="3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Pellet procedures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Dietary supplements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Disposable trocars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fees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Contract-term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recognized by geographic region was as follows:</w:t>
      </w:r>
    </w:p>
    <w:tbl>
      <w:tblPr>
        <w:tblW w:w="4476" w:type="dxa"/>
        <w:jc w:val="left"/>
        <w:tblInd w:w="0" w:type="dxa"/>
        <w:tblLayout w:type="fixed"/>
        <w:tblCellMar>
          <w:top w:w="28" w:type="dxa"/>
          <w:left w:w="28" w:type="dxa"/>
          <w:bottom w:w="28" w:type="dxa"/>
          <w:right w:w="28" w:type="dxa"/>
        </w:tblCellMar>
      </w:tblPr>
      <w:tblGrid>
        <w:gridCol w:w="1541"/>
        <w:gridCol w:w="146"/>
        <w:gridCol w:w="245"/>
        <w:gridCol w:w="785"/>
        <w:gridCol w:w="169"/>
        <w:gridCol w:w="169"/>
        <w:gridCol w:w="245"/>
        <w:gridCol w:w="785"/>
        <w:gridCol w:w="391"/>
      </w:tblGrid>
      <w:tr>
        <w:trPr/>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Significant changes in contract liability balances were as follows:</w:t>
      </w:r>
    </w:p>
    <w:tbl>
      <w:tblPr>
        <w:tblW w:w="10205" w:type="dxa"/>
        <w:jc w:val="left"/>
        <w:tblInd w:w="0" w:type="dxa"/>
        <w:tblLayout w:type="fixed"/>
        <w:tblCellMar>
          <w:top w:w="28" w:type="dxa"/>
          <w:left w:w="28" w:type="dxa"/>
          <w:bottom w:w="28" w:type="dxa"/>
          <w:right w:w="28" w:type="dxa"/>
        </w:tblCellMar>
      </w:tblPr>
      <w:tblGrid>
        <w:gridCol w:w="4340"/>
        <w:gridCol w:w="146"/>
        <w:gridCol w:w="317"/>
        <w:gridCol w:w="728"/>
        <w:gridCol w:w="166"/>
        <w:gridCol w:w="146"/>
        <w:gridCol w:w="379"/>
        <w:gridCol w:w="760"/>
        <w:gridCol w:w="166"/>
        <w:gridCol w:w="146"/>
        <w:gridCol w:w="317"/>
        <w:gridCol w:w="728"/>
        <w:gridCol w:w="166"/>
        <w:gridCol w:w="146"/>
        <w:gridCol w:w="347"/>
        <w:gridCol w:w="793"/>
        <w:gridCol w:w="414"/>
      </w:tblGrid>
      <w:tr>
        <w:trPr/>
        <w:tc>
          <w:tcPr>
            <w:tcW w:w="4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change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br/>
              <w:t>Long-term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br/>
              <w:t>Long-term</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that was included in the contract liability 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due to cash received, excluding amounts recognized as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between current and non-current liabilities due to the expected revenue recognition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increase (decrease) in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Consideration allocated to initial training due to deposits paid upfront is presented within deferred revenue in the unaudited condensed consolidated balance sheets and is expected to be recognized as revenue within one year as the training is performed. Consideration allocated to contract-term services is presented within deferred revenue, current and deferred revenue, net of current portion for the amounts expected to be recognized within one year and longer than one year,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Consideration allocated to the premiums within the management fee for pellet procedures is presented within deferred revenue current and deferred revenue, net of current portion for amounts expected to be recognized within one year and longer than one year, respectively.</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Consideration allocated to performance obligations was as follows:</w:t>
      </w:r>
    </w:p>
    <w:tbl>
      <w:tblPr>
        <w:tblW w:w="7185" w:type="dxa"/>
        <w:jc w:val="left"/>
        <w:tblInd w:w="0" w:type="dxa"/>
        <w:tblLayout w:type="fixed"/>
        <w:tblCellMar>
          <w:top w:w="28" w:type="dxa"/>
          <w:left w:w="28" w:type="dxa"/>
          <w:bottom w:w="28" w:type="dxa"/>
          <w:right w:w="28" w:type="dxa"/>
        </w:tblCellMar>
      </w:tblPr>
      <w:tblGrid>
        <w:gridCol w:w="4406"/>
        <w:gridCol w:w="146"/>
        <w:gridCol w:w="230"/>
        <w:gridCol w:w="625"/>
        <w:gridCol w:w="146"/>
        <w:gridCol w:w="146"/>
        <w:gridCol w:w="294"/>
        <w:gridCol w:w="801"/>
        <w:gridCol w:w="39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training obligations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contract-term services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contract-term services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allocated to unsatisfied contract-term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pellet procedures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Unsatisfied pellet procedures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allocated to unsatisfied pellet procedures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does not have a history of material returns or refunds and generally does not offer warranties or guarantees for any products or services. There were no expected returns or refunds recorded as a reduction of revenue for the three months ended March 31, 2026 and 2025.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INVENTORY,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components of inventory, net were as follows:</w:t>
      </w:r>
    </w:p>
    <w:tbl>
      <w:tblPr>
        <w:tblW w:w="7637" w:type="dxa"/>
        <w:jc w:val="left"/>
        <w:tblInd w:w="0" w:type="dxa"/>
        <w:tblLayout w:type="fixed"/>
        <w:tblCellMar>
          <w:top w:w="28" w:type="dxa"/>
          <w:left w:w="28" w:type="dxa"/>
          <w:bottom w:w="28" w:type="dxa"/>
          <w:right w:w="28" w:type="dxa"/>
        </w:tblCellMar>
      </w:tblPr>
      <w:tblGrid>
        <w:gridCol w:w="4786"/>
        <w:gridCol w:w="146"/>
        <w:gridCol w:w="211"/>
        <w:gridCol w:w="676"/>
        <w:gridCol w:w="166"/>
        <w:gridCol w:w="146"/>
        <w:gridCol w:w="260"/>
        <w:gridCol w:w="835"/>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inventory – Pellets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Pellets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Obsolete and expired pellet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Pellet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inventory – Dietary supplements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Obsolete and expired dietary supplement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Dietary supplement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26, 2026, the Company announced its subsidiary, Asteria Health, issued a voluntary recall of specific lots of hormone pellets shipped by Asteria Health between May 20, 2025 and January 19, 2026 due to the potential presence of metal particulate matter (the “January 2026 Voluntary Recall”). The Company evaluated its pellet inventory on hand as of the date of the recall, and determined the pellet inventory lots impacted by the recall were impaired as of December 31, 2025. As a result, the Company recorded an impairment charge of $1.3 million to write-down the impacted pellet inventory to net realizable value, which is reflected in inventory, net on the unaudited condensed consolidated balance sheet for the year ended December 31, 2025. The Company did not record any additional recall-related impairment charges to its pellet inventory during the three months ended March 31, 2026.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 xml:space="preserve">PROPERTY AND EQUIPMENT, NET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net consisted of the following:</w:t>
      </w:r>
    </w:p>
    <w:tbl>
      <w:tblPr>
        <w:tblW w:w="5582" w:type="dxa"/>
        <w:jc w:val="left"/>
        <w:tblInd w:w="0" w:type="dxa"/>
        <w:tblLayout w:type="fixed"/>
        <w:tblCellMar>
          <w:top w:w="28" w:type="dxa"/>
          <w:left w:w="28" w:type="dxa"/>
          <w:bottom w:w="28" w:type="dxa"/>
          <w:right w:w="28" w:type="dxa"/>
        </w:tblCellMar>
      </w:tblPr>
      <w:tblGrid>
        <w:gridCol w:w="2731"/>
        <w:gridCol w:w="146"/>
        <w:gridCol w:w="211"/>
        <w:gridCol w:w="676"/>
        <w:gridCol w:w="166"/>
        <w:gridCol w:w="146"/>
        <w:gridCol w:w="260"/>
        <w:gridCol w:w="835"/>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Trocars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Compounding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Depreciation expense reflected in selling, general and administrative expense in the consolidated statements of operations and comprehensive income was $0.2 million for each of the three months ended March 31, 2026 and 2025, respectively. Depreciation expense reflected in cost of products in the consolidated statements of operations and comprehensive income was $0.2 million and $0.01 million for the three months ended March 31, 2026 and 2025, respectively. The Company has not acquired any property and equipment under finance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property and equipment are all held within the United States.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CAPITALIZED SOFTWARE,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Capitalized software, net consisted of the following:</w:t>
      </w:r>
    </w:p>
    <w:tbl>
      <w:tblPr>
        <w:tblW w:w="5597" w:type="dxa"/>
        <w:jc w:val="left"/>
        <w:tblInd w:w="0" w:type="dxa"/>
        <w:tblLayout w:type="fixed"/>
        <w:tblCellMar>
          <w:top w:w="28" w:type="dxa"/>
          <w:left w:w="28" w:type="dxa"/>
          <w:bottom w:w="28" w:type="dxa"/>
          <w:right w:w="28" w:type="dxa"/>
        </w:tblCellMar>
      </w:tblPr>
      <w:tblGrid>
        <w:gridCol w:w="2746"/>
        <w:gridCol w:w="146"/>
        <w:gridCol w:w="211"/>
        <w:gridCol w:w="676"/>
        <w:gridCol w:w="166"/>
        <w:gridCol w:w="146"/>
        <w:gridCol w:w="260"/>
        <w:gridCol w:w="835"/>
        <w:gridCol w:w="4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amortization expense for capitalized software was $0.3 million for each of the three months ended March 31, 2026 and 2025, respectively, and was included in selling, general and administrative expense in the unaudited condensed consolidated statements of operations and comprehensive income.</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1435"/>
        <w:gridCol w:w="146"/>
        <w:gridCol w:w="315"/>
        <w:gridCol w:w="853"/>
        <w:gridCol w:w="146"/>
        <w:gridCol w:w="146"/>
        <w:gridCol w:w="331"/>
        <w:gridCol w:w="995"/>
        <w:gridCol w:w="166"/>
        <w:gridCol w:w="146"/>
        <w:gridCol w:w="262"/>
        <w:gridCol w:w="709"/>
        <w:gridCol w:w="146"/>
        <w:gridCol w:w="146"/>
        <w:gridCol w:w="315"/>
        <w:gridCol w:w="853"/>
        <w:gridCol w:w="146"/>
        <w:gridCol w:w="146"/>
        <w:gridCol w:w="331"/>
        <w:gridCol w:w="995"/>
        <w:gridCol w:w="166"/>
        <w:gridCol w:w="146"/>
        <w:gridCol w:w="262"/>
        <w:gridCol w:w="709"/>
        <w:gridCol w:w="194"/>
      </w:tblGrid>
      <w:tr>
        <w:trPr/>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Definite Lived Intangible Asset Amortization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Amortization expense related to definite lived intangible assets was $0.3 million for each of the three months ended March 31, 2026 and 2025, respectively, and was included in selling, general and administrative expense in the unaudited condensed consolidated statements of operations and comprehensive income.</w:t>
      </w:r>
    </w:p>
    <w:p>
      <w:pPr>
        <w:pStyle w:val="TextBody"/>
        <w:bidi w:val="0"/>
        <w:jc w:val="left"/>
        <w:rPr>
          <w:rFonts w:ascii="Times New Roman" w:hAnsi="Times New Roman"/>
          <w:color w:val="000000"/>
          <w:sz w:val="20"/>
        </w:rPr>
      </w:pPr>
      <w:r>
        <w:rPr>
          <w:rFonts w:ascii="Times New Roman" w:hAnsi="Times New Roman"/>
          <w:color w:val="000000"/>
          <w:sz w:val="20"/>
        </w:rPr>
        <w:t>The estimated amortization expense for each of the next five years is as follows:</w:t>
      </w:r>
    </w:p>
    <w:p>
      <w:pPr>
        <w:pStyle w:val="TextBody"/>
        <w:bidi w:val="0"/>
        <w:jc w:val="both"/>
        <w:rPr/>
      </w:pPr>
      <w:r>
        <w:rPr/>
        <w:t> </w:t>
      </w:r>
    </w:p>
    <w:tbl>
      <w:tblPr>
        <w:tblW w:w="4243" w:type="dxa"/>
        <w:jc w:val="left"/>
        <w:tblInd w:w="0" w:type="dxa"/>
        <w:tblLayout w:type="fixed"/>
        <w:tblCellMar>
          <w:top w:w="28" w:type="dxa"/>
          <w:left w:w="28" w:type="dxa"/>
          <w:bottom w:w="28" w:type="dxa"/>
          <w:right w:w="28" w:type="dxa"/>
        </w:tblCellMar>
      </w:tblPr>
      <w:tblGrid>
        <w:gridCol w:w="2581"/>
        <w:gridCol w:w="146"/>
        <w:gridCol w:w="302"/>
        <w:gridCol w:w="823"/>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5512" w:type="dxa"/>
        <w:jc w:val="left"/>
        <w:tblInd w:w="0" w:type="dxa"/>
        <w:tblLayout w:type="fixed"/>
        <w:tblCellMar>
          <w:top w:w="28" w:type="dxa"/>
          <w:left w:w="28" w:type="dxa"/>
          <w:bottom w:w="28" w:type="dxa"/>
          <w:right w:w="28" w:type="dxa"/>
        </w:tblCellMar>
      </w:tblPr>
      <w:tblGrid>
        <w:gridCol w:w="2701"/>
        <w:gridCol w:w="146"/>
        <w:gridCol w:w="211"/>
        <w:gridCol w:w="676"/>
        <w:gridCol w:w="146"/>
        <w:gridCol w:w="146"/>
        <w:gridCol w:w="294"/>
        <w:gridCol w:w="8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accrual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Truist Term Loan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May 22, 2022, the Company entered into a loan agreement with Truist Bank (as amended from time to time, the “Credit Agreement”) for $125.0 million. The Credit Agreement provides for (i) a $50.0 million senior secured revolving credit facility (the “Revolving Loans”) and (ii) a $125.0 million senior secured term loan credit facility (the “Term Loan”), which was borrowed in full on May 22, 2022. The Company used the proceeds to refinance and replace an existing credit facility pursuant to a credit agreement, dated as of May 17, 2019, with Bank of America, N.A. and for general corporate purposes. At the Company’s election, interest on borrowings under the Credit Agreement is based on either the Standard Overnight Financing Rate plus an applicable margin of 2.5% or 2.75% or the Base Rate plus an applicable margin of 1.5% or 1.75%. At March 31, 2026, the interest rate charged to the Company was approximately 6.27%. The Term Loan requires principal payments of $1.6 million in quarterly installments on the last day of each calendar quarter, commencing on September 30, 2022, with repayment of the outstanding amount of the note due on maturity, which occurs on May 26, 2027.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Credit Agreement, the Company may borrow under the Revolving Loans from time to time up to the total commitment of $50.0 million. As of March 31, 2026 and December 31, 2025, the Company had $5.0 million outstanding under the Revolving Loans.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Credit Agreement is secured by substantially all of the assets of the Company and is subject to, among other provisions, customary covenants regarding indebtedness, liens, negative pledges, restricted payments, certain prepayments of indebtedness, investments, fundamental changes, disposition of assets, sale and lease-back transactions, transactions with affiliates, amendments of or waivers with respect to restricted debt and permitted activities of the Company. The Credit Agreement is subject to (i) a maximum total net leverage ratio and (ii) a minimum fixed charge coverage ratio. The Company must maintain a total net leverage ratio of less than or equal to 3.75:1.00 and must not permit the Consolidated Fixed Charge Coverage Ratio to be less than 1.25:1.00. Both financial covenants are tested quarterly. In addition to the financial covenants, the Company is required to deliver financial statements and other information and is prohibited from making certain restricted payments, as defined in the Credit Agreement, during the fiscal year in progress. As of March 31, 2026, the Company was in compliance with all required financial covenants associated with the Credit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capitalized lender’s fees and related attorney’s fees of $4.0 million, which are amortized over the life of the Term Loan and included in interest expense, net on the unaudited condensed consolidated statements of operations and comprehensive income. Amortization expense related to the debt issuance costs on the Credit Agreement was $0.2 million for each of the three months ended March 31, 2026 and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Long-term debt was as follows:</w:t>
      </w:r>
    </w:p>
    <w:tbl>
      <w:tblPr>
        <w:tblW w:w="6182" w:type="dxa"/>
        <w:jc w:val="left"/>
        <w:tblInd w:w="0" w:type="dxa"/>
        <w:tblLayout w:type="fixed"/>
        <w:tblCellMar>
          <w:top w:w="28" w:type="dxa"/>
          <w:left w:w="28" w:type="dxa"/>
          <w:bottom w:w="28" w:type="dxa"/>
          <w:right w:w="28" w:type="dxa"/>
        </w:tblCellMar>
      </w:tblPr>
      <w:tblGrid>
        <w:gridCol w:w="3226"/>
        <w:gridCol w:w="146"/>
        <w:gridCol w:w="211"/>
        <w:gridCol w:w="781"/>
        <w:gridCol w:w="166"/>
        <w:gridCol w:w="146"/>
        <w:gridCol w:w="233"/>
        <w:gridCol w:w="862"/>
        <w:gridCol w:w="4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maturities of long-term debt, excluding debt issuance costs, are as follows:</w:t>
      </w:r>
    </w:p>
    <w:tbl>
      <w:tblPr>
        <w:tblW w:w="4043" w:type="dxa"/>
        <w:jc w:val="left"/>
        <w:tblInd w:w="0" w:type="dxa"/>
        <w:tblLayout w:type="fixed"/>
        <w:tblCellMar>
          <w:top w:w="28" w:type="dxa"/>
          <w:left w:w="28" w:type="dxa"/>
          <w:bottom w:w="28" w:type="dxa"/>
          <w:right w:w="28" w:type="dxa"/>
        </w:tblCellMar>
      </w:tblPr>
      <w:tblGrid>
        <w:gridCol w:w="2581"/>
        <w:gridCol w:w="146"/>
        <w:gridCol w:w="239"/>
        <w:gridCol w:w="886"/>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EARNOUT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of the Company’s equity holders received earnout securities that will vest if certain share price targets (the “Triggering Events”) are achieved by May 26, 2027 (the “Earnout Deadline”). The Triggering Events each entitle the eligible equity holders to a certain number of shares per Triggering Event. The Triggering Events are as follows: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first time, prior to the Earnout Deadline, that the volume-weighted average share price of Biote’s Class A common stock (“VWAP”) equals or exceeds $12.50 per share (the “Price Target 1”) for twenty (20) trading days of any thirty (30) consecutive trading day period following May 26, 2022, one-third (1/3) of the earnout securities shall be vested and no longer subject to forfeiture and other transfer restrictions (the “Earnout Restrictions”);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first time, prior to the Earnout Deadline, that the VWAP equals or exceeds $15.00 per share (the “Price Target 2”) for twenty (20) trading days of any thirty (30) consecutive trading day period following May 26, 2022, one-third (1/3) of the earnout securities shall be vested and no longer subject to the Earnout Restrictions;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first time, prior to the Earnout Deadline, that the VWAP equals or exceeds $17.50 per share (the “Price Target 3”) for twenty (20) trading days of any thirty (30) consecutive trading day period following May 26, 2022, one-third (1/3) of the earnout securities shall be vested and no longer subject to the Earnout Restrictions;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Company completes a change of control prior to the Earnout Deadline, then all remaining unvested earnout securities shall vest and no longer be subject to the Earnout Restrictions.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earnout securities are classified as a liability in the Company’s unaudited condensed consolidated balance sheets because they do not qualify as being indexed to the Company’s own stock. The earnout liability was initially measured at fair value and is subsequently remeasured at the end of each reporting period. The change in fair value of the earnout liability is recorded in the unaudited condensed consolidated statements of operations and comprehensive income. Please refer to Note 11 for additional information on the fair value of the earnout liability.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rFonts w:ascii="Times New Roman" w:hAnsi="Times New Roman"/>
          <w:color w:val="000000"/>
          <w:sz w:val="20"/>
        </w:rPr>
      </w:pPr>
      <w:r>
        <w:rPr>
          <w:rFonts w:ascii="Times New Roman" w:hAnsi="Times New Roman"/>
          <w:color w:val="000000"/>
          <w:sz w:val="20"/>
        </w:rPr>
        <w:t>The Company has established a fair value hierarchy which prioritizes the inputs to the valuation techniques used to measure fair value into three levels. These levels are determined based on the lowest level input that is significant to the fair value measurement. Levels within the hierarchy are defined in Note 2 to the consolidated financial statements in the 2025 Form 10-K.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financial instruments consist of accounts receivable, accounts payable, accrued expenses, and short- and long-term debt. The carrying value of accounts receivable, accounts payable, accrued expenses and short-term debt are considered a reasonable estimate of their fair value, due to the short-term maturity of these instruments.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debt instruments are carried at amortized cost in its unaudited condensed consolidated balance sheets, which may differ from their respective fair values. The fair values of the Company’s Term Loan and Revolving Loans generally approximate their carrying values.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information regarding the Company’s financial liabilities that were measured at fair value on a recurring basis:</w:t>
      </w:r>
    </w:p>
    <w:tbl>
      <w:tblPr>
        <w:tblW w:w="5508" w:type="dxa"/>
        <w:jc w:val="left"/>
        <w:tblInd w:w="0" w:type="dxa"/>
        <w:tblLayout w:type="fixed"/>
        <w:tblCellMar>
          <w:top w:w="28" w:type="dxa"/>
          <w:left w:w="28" w:type="dxa"/>
          <w:bottom w:w="28" w:type="dxa"/>
          <w:right w:w="28" w:type="dxa"/>
        </w:tblCellMar>
      </w:tblPr>
      <w:tblGrid>
        <w:gridCol w:w="1471"/>
        <w:gridCol w:w="146"/>
        <w:gridCol w:w="239"/>
        <w:gridCol w:w="391"/>
        <w:gridCol w:w="146"/>
        <w:gridCol w:w="146"/>
        <w:gridCol w:w="239"/>
        <w:gridCol w:w="391"/>
        <w:gridCol w:w="146"/>
        <w:gridCol w:w="146"/>
        <w:gridCol w:w="211"/>
        <w:gridCol w:w="571"/>
        <w:gridCol w:w="146"/>
        <w:gridCol w:w="146"/>
        <w:gridCol w:w="211"/>
        <w:gridCol w:w="57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5508" w:type="dxa"/>
        <w:jc w:val="left"/>
        <w:tblInd w:w="0" w:type="dxa"/>
        <w:tblLayout w:type="fixed"/>
        <w:tblCellMar>
          <w:top w:w="28" w:type="dxa"/>
          <w:left w:w="28" w:type="dxa"/>
          <w:bottom w:w="28" w:type="dxa"/>
          <w:right w:w="28" w:type="dxa"/>
        </w:tblCellMar>
      </w:tblPr>
      <w:tblGrid>
        <w:gridCol w:w="1471"/>
        <w:gridCol w:w="146"/>
        <w:gridCol w:w="239"/>
        <w:gridCol w:w="391"/>
        <w:gridCol w:w="146"/>
        <w:gridCol w:w="146"/>
        <w:gridCol w:w="239"/>
        <w:gridCol w:w="391"/>
        <w:gridCol w:w="146"/>
        <w:gridCol w:w="146"/>
        <w:gridCol w:w="211"/>
        <w:gridCol w:w="571"/>
        <w:gridCol w:w="146"/>
        <w:gridCol w:w="146"/>
        <w:gridCol w:w="211"/>
        <w:gridCol w:w="57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movements between levels during the three months ended March 31, 2026.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Level 3 Disclosures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earnout liability related to the Business Combination Agreement was valued using a Monte Carlo simulation in order to project the future path of the Company’s stock price over the earnout period. The earnout liability related to the 2024 acquisition of Simpatra was valued using a Monte Carlo simulation in order to project the future path of Simpatra’s revenue and the Company’s stock price over the earnout period. The carrying amount of these liabilities may fluctuate significantly, and actual amounts paid may be materially different from the liability’s estimated fair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the significant inputs used to measure the fair value of the level 3 earnout liability related to the Business Combination Agreement:</w:t>
      </w:r>
    </w:p>
    <w:tbl>
      <w:tblPr>
        <w:tblW w:w="4975" w:type="dxa"/>
        <w:jc w:val="left"/>
        <w:tblInd w:w="0" w:type="dxa"/>
        <w:tblLayout w:type="fixed"/>
        <w:tblCellMar>
          <w:top w:w="28" w:type="dxa"/>
          <w:left w:w="28" w:type="dxa"/>
          <w:bottom w:w="28" w:type="dxa"/>
          <w:right w:w="28" w:type="dxa"/>
        </w:tblCellMar>
      </w:tblPr>
      <w:tblGrid>
        <w:gridCol w:w="1336"/>
        <w:gridCol w:w="146"/>
        <w:gridCol w:w="393"/>
        <w:gridCol w:w="867"/>
        <w:gridCol w:w="271"/>
        <w:gridCol w:w="146"/>
        <w:gridCol w:w="467"/>
        <w:gridCol w:w="1033"/>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the significant inputs used to measure the fair value of the level 3 earnout liability related to the acquisition of Simpatra:</w:t>
      </w:r>
    </w:p>
    <w:tbl>
      <w:tblPr>
        <w:tblW w:w="5575" w:type="dxa"/>
        <w:jc w:val="left"/>
        <w:tblInd w:w="0" w:type="dxa"/>
        <w:tblLayout w:type="fixed"/>
        <w:tblCellMar>
          <w:top w:w="28" w:type="dxa"/>
          <w:left w:w="28" w:type="dxa"/>
          <w:bottom w:w="28" w:type="dxa"/>
          <w:right w:w="28" w:type="dxa"/>
        </w:tblCellMar>
      </w:tblPr>
      <w:tblGrid>
        <w:gridCol w:w="1936"/>
        <w:gridCol w:w="146"/>
        <w:gridCol w:w="393"/>
        <w:gridCol w:w="867"/>
        <w:gridCol w:w="271"/>
        <w:gridCol w:w="146"/>
        <w:gridCol w:w="467"/>
        <w:gridCol w:w="1033"/>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Correlation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Changes in the fair value of the Company’s Level 3 financial instruments were as follows:</w:t>
      </w:r>
    </w:p>
    <w:tbl>
      <w:tblPr>
        <w:tblW w:w="4873" w:type="dxa"/>
        <w:jc w:val="left"/>
        <w:tblInd w:w="0" w:type="dxa"/>
        <w:tblLayout w:type="fixed"/>
        <w:tblCellMar>
          <w:top w:w="28" w:type="dxa"/>
          <w:left w:w="28" w:type="dxa"/>
          <w:bottom w:w="28" w:type="dxa"/>
          <w:right w:w="28" w:type="dxa"/>
        </w:tblCellMar>
      </w:tblPr>
      <w:tblGrid>
        <w:gridCol w:w="2971"/>
        <w:gridCol w:w="146"/>
        <w:gridCol w:w="342"/>
        <w:gridCol w:w="1023"/>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Earnout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NONCONTROLLING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organized in an umbrella partnership-C corporation (“Up-C”) structure in which the business of the Company is operated by Holdings and Biote’s only material direct asset consists of equity interests in Holdings. As of March 31, 2026, Biote’s ownership of Holdings was approximately 87.9%. The portion of the consolidated subsidiaries not owned by the Company and any related activity is presented as non-controlling interest in the unaudited condensed consolidated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non-controlling interest holders may redeem their units in Holdings for an equal number of shares of Biote’s Class A common stock or, at the election of the Company, cash. As a result, Biote’s ownership interest in Holdings will continue to increase. Because redemptions for cash are solely within the control of the Company, non-controlling interest is presented in permanent equity.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grants restricted stock units (“RSUs”) to certain employees under the </w:t>
      </w:r>
      <w:r>
        <w:rPr>
          <w:rFonts w:ascii="Times New Roman" w:hAnsi="Times New Roman"/>
          <w:i/>
          <w:color w:val="000000"/>
          <w:sz w:val="20"/>
        </w:rPr>
        <w:t xml:space="preserve">2022 Equity Incentive Plan </w:t>
      </w:r>
      <w:r>
        <w:rPr>
          <w:rFonts w:ascii="Times New Roman" w:hAnsi="Times New Roman"/>
          <w:color w:val="000000"/>
          <w:sz w:val="20"/>
        </w:rPr>
        <w:t>and are valued based on the closing price of the Company’s Class A common stock on the date of grant. The following table summarizes RSU activity during the three months ended March 31, 2026:</w:t>
      </w:r>
    </w:p>
    <w:tbl>
      <w:tblPr>
        <w:tblW w:w="6713" w:type="dxa"/>
        <w:jc w:val="left"/>
        <w:tblInd w:w="0" w:type="dxa"/>
        <w:tblLayout w:type="fixed"/>
        <w:tblCellMar>
          <w:top w:w="28" w:type="dxa"/>
          <w:left w:w="28" w:type="dxa"/>
          <w:bottom w:w="28" w:type="dxa"/>
          <w:right w:w="28" w:type="dxa"/>
        </w:tblCellMar>
      </w:tblPr>
      <w:tblGrid>
        <w:gridCol w:w="3466"/>
        <w:gridCol w:w="146"/>
        <w:gridCol w:w="146"/>
        <w:gridCol w:w="781"/>
        <w:gridCol w:w="166"/>
        <w:gridCol w:w="146"/>
        <w:gridCol w:w="458"/>
        <w:gridCol w:w="1013"/>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RSUs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share-based compensation expense of $0.02 million during the three months ended March 31, 2026 and did not recognize any share-based compensation expense during the three months ended March 31, 2025 related to RSUs. As of March 31, 2026, the Company had $0.3 million of unrecognized share-based compensation expense related to unvested RSUs.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grants stock options to certain employees, directors, and consultants under the </w:t>
      </w:r>
      <w:r>
        <w:rPr>
          <w:rFonts w:ascii="Times New Roman" w:hAnsi="Times New Roman"/>
          <w:i/>
          <w:color w:val="000000"/>
          <w:sz w:val="20"/>
        </w:rPr>
        <w:t>2022 Equity Incentive Plan</w:t>
      </w:r>
      <w:r>
        <w:rPr>
          <w:rFonts w:ascii="Times New Roman" w:hAnsi="Times New Roman"/>
          <w:color w:val="000000"/>
          <w:sz w:val="20"/>
        </w:rPr>
        <w:t>. The following table summarizes stock option activity during the three months ended March 31, 2026:</w:t>
      </w:r>
    </w:p>
    <w:tbl>
      <w:tblPr>
        <w:tblW w:w="9526" w:type="dxa"/>
        <w:jc w:val="left"/>
        <w:tblInd w:w="0" w:type="dxa"/>
        <w:tblLayout w:type="fixed"/>
        <w:tblCellMar>
          <w:top w:w="28" w:type="dxa"/>
          <w:left w:w="28" w:type="dxa"/>
          <w:bottom w:w="28" w:type="dxa"/>
          <w:right w:w="28" w:type="dxa"/>
        </w:tblCellMar>
      </w:tblPr>
      <w:tblGrid>
        <w:gridCol w:w="3661"/>
        <w:gridCol w:w="346"/>
        <w:gridCol w:w="146"/>
        <w:gridCol w:w="1036"/>
        <w:gridCol w:w="166"/>
        <w:gridCol w:w="146"/>
        <w:gridCol w:w="458"/>
        <w:gridCol w:w="1013"/>
        <w:gridCol w:w="346"/>
        <w:gridCol w:w="346"/>
        <w:gridCol w:w="423"/>
        <w:gridCol w:w="1048"/>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Options outstanding at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Exercised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12,282,096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Options outstanding at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share-based compensation expense of $1.7 million and $2.1 million during the three months ended March 31, 2026 and 2025, respectively, related to stock options. As of March 31, 2026, there was $11.2 million of unrecognized share-based compensation expense related to unvested stock options. This expense is expected to be recognized over a weighted-average remaining vesting period of 2.43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weighted-average assumptions used to estimate the fair value of stock options granted during the three months ended March 31, 2026 were as follows:</w:t>
      </w:r>
    </w:p>
    <w:tbl>
      <w:tblPr>
        <w:tblW w:w="3403" w:type="dxa"/>
        <w:jc w:val="left"/>
        <w:tblInd w:w="0" w:type="dxa"/>
        <w:tblLayout w:type="fixed"/>
        <w:tblCellMar>
          <w:top w:w="28" w:type="dxa"/>
          <w:left w:w="28" w:type="dxa"/>
          <w:bottom w:w="28" w:type="dxa"/>
          <w:right w:w="28" w:type="dxa"/>
        </w:tblCellMar>
      </w:tblPr>
      <w:tblGrid>
        <w:gridCol w:w="2086"/>
        <w:gridCol w:w="146"/>
        <w:gridCol w:w="204"/>
        <w:gridCol w:w="651"/>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Stock Purchase Plan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26, 2022, the Company’s Board of Directors approved the 2022 Employee Stock Purchase Plan (the ESPP). The maximum number of shares of the Company’s common stock that may be issued under the ESPP is equal to the sum of 797,724 shares (the “Initial Share Reserve”) of the Company’s common stock plus the number of shares of the Company’s common stock that may be added to the ESPP annually each year for a period of up to 10 years. Additional shares added to the ESPP on an annual basis is equal to the lesser of 1% of the total number of shares of the Company’s capital stock on the last day of the immediately preceding calendar year and the Initial Share 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share-based compensation expense of $0.01 million and $0.02 million for the three months ended March 31, 2026 and 2025, respectively, related to the ESPP. As of March 31, 2026 and 2025, 151,119 shares and 63,413 shares, respectively, had been purchased under the ESPP.</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 2014, the Company entered into a contract to lease office space in the Las Colinas Business Center in Irving, TX. Subsequent to execution of the contract, the Company revised the lease to include additional space and extend the lease term through June 30, 2023. On November 1, 2022, the Company executed an extension of leased office space to extend through November 30, 2028. This extension included an additional 3,700 square feet of space that became available for use in December 2023 and has been included in monthly rent payments accordingly.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September 11, 2024, the Company entered into a 60-month operating lease agreement for approximately 19,076 square feet of office space in Birmingham, Alabama that is used by Asteria Health to compound bioidentical hormone pellets.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operating lease costs on a straight-line basis over the lease term within selling, general and administrative expense in the unaudited condensed consolidated statements of operations and comprehensive income. The following table contains a summary of the operating lease costs recognized under ASC 842 and supplemental cash flow information for leases:</w:t>
      </w:r>
    </w:p>
    <w:tbl>
      <w:tblPr>
        <w:tblW w:w="9330" w:type="dxa"/>
        <w:jc w:val="left"/>
        <w:tblInd w:w="0" w:type="dxa"/>
        <w:tblLayout w:type="fixed"/>
        <w:tblCellMar>
          <w:top w:w="28" w:type="dxa"/>
          <w:left w:w="28" w:type="dxa"/>
          <w:bottom w:w="28" w:type="dxa"/>
          <w:right w:w="28" w:type="dxa"/>
        </w:tblCellMar>
      </w:tblPr>
      <w:tblGrid>
        <w:gridCol w:w="6396"/>
        <w:gridCol w:w="146"/>
        <w:gridCol w:w="296"/>
        <w:gridCol w:w="592"/>
        <w:gridCol w:w="205"/>
        <w:gridCol w:w="205"/>
        <w:gridCol w:w="296"/>
        <w:gridCol w:w="803"/>
        <w:gridCol w:w="391"/>
      </w:tblGrid>
      <w:tr>
        <w:trPr/>
        <w:tc>
          <w:tcPr>
            <w:tcW w:w="6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balance sheet classification of the Company’s operating leases, amounts of ROU assets and lease liabilities, the weighted average remaining lease term, and the weighted average discount rate for the Company’s operating leases:</w:t>
      </w:r>
    </w:p>
    <w:tbl>
      <w:tblPr>
        <w:tblW w:w="8410" w:type="dxa"/>
        <w:jc w:val="left"/>
        <w:tblInd w:w="0" w:type="dxa"/>
        <w:tblLayout w:type="fixed"/>
        <w:tblCellMar>
          <w:top w:w="28" w:type="dxa"/>
          <w:left w:w="28" w:type="dxa"/>
          <w:bottom w:w="28" w:type="dxa"/>
          <w:right w:w="28" w:type="dxa"/>
        </w:tblCellMar>
      </w:tblPr>
      <w:tblGrid>
        <w:gridCol w:w="5506"/>
        <w:gridCol w:w="146"/>
        <w:gridCol w:w="230"/>
        <w:gridCol w:w="625"/>
        <w:gridCol w:w="271"/>
        <w:gridCol w:w="146"/>
        <w:gridCol w:w="294"/>
        <w:gridCol w:w="801"/>
        <w:gridCol w:w="3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payments by date for the Company’s operating lease, which is then reconciled to the total lease obligation:</w:t>
      </w:r>
    </w:p>
    <w:tbl>
      <w:tblPr>
        <w:tblW w:w="4568" w:type="dxa"/>
        <w:jc w:val="left"/>
        <w:tblInd w:w="0" w:type="dxa"/>
        <w:tblLayout w:type="fixed"/>
        <w:tblCellMar>
          <w:top w:w="28" w:type="dxa"/>
          <w:left w:w="28" w:type="dxa"/>
          <w:bottom w:w="28" w:type="dxa"/>
          <w:right w:w="28" w:type="dxa"/>
        </w:tblCellMar>
      </w:tblPr>
      <w:tblGrid>
        <w:gridCol w:w="2886"/>
        <w:gridCol w:w="146"/>
        <w:gridCol w:w="302"/>
        <w:gridCol w:w="823"/>
        <w:gridCol w:w="41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subject to U.S. federal and state taxes with respect to its allocable share of any taxable income or loss of Holdings as well as any stand-alone income or loss it generates. Holdings is treated as a partnership for U.S. federal and most applicable state and local income tax purposes and generally does not pay income taxes in most jurisdictions. Instead, Holdings’ taxable income or loss is passed through to and included in the taxable income or loss of its members, including the Company. Despite its status as a partnership in the U.S., Holdings’ foreign subsidiaries are taxable entities operating in foreign jurisdictions. As such, these foreign subsidiaries may record a tax expense or benefit in jurisdictions where a valuation allowance has not been recorded.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December 13, 2021, the Company entered into a tax receivable agreement with the then-existing non-controlling interest holders (the “TRA”) that provides payments to be made to non-controlling interest holders of approximately 85% of the amount of any tax benefits realized by the Company as a result of increases in the Company’s share of the tax basis in the net assets of Holdings resulting from any redemptions of member units in exchange for Class A common stock or cash as well as tax basis increases attributable to payments made under the TRA. The Company expects to benefit from the remaining 15% of any tax benefits realized. No exchanges of units occurred during the three months ended March 31,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a quarterly basis, the Company estimates the effective tax rate expected to be applicable for the full year and makes changes, if necessary, based on new information or events. The estimated annual effective tax rate is forecasted based on actual historical information and forward-looking estimates and is used to provide for income taxes in interim reporting periods. The Company also recognizes the tax impact of certain unusual or infrequently occurring items, such as the effects of changes in tax laws or rates and impacts from settlements with tax authorities, discretely in the quarter in which they occur. The Company recorded income tax expense of $0.7 million and $1.6 million for the three months ended March 31, 2026 and 2025,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continues to evaluate its deferred tax assets each period to determine if a valuation allowance is required based on whether it is more likely than not that some portion of these deferred tax assets will not be realized. As part of the Company’s analysis, it considered both positive and negative factors that impact profitability and whether those factors would lead to a change in the estimate of its deferred tax assets that may be realized in the future. Based on the Company’s analysis, it has recorded a valuation allowance related to foreign deferred tax assets as of March 31, 2026. The Company will continue to assess the likelihood of the realization of its deferred tax assets and the valuation allowance will be adjusted accordingly.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CAPITAL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24, 2024, the Company’s Board of Directors approved a share repurchase program authorizing the repurchase of up to $20.0 million its outstanding Class A common stock. Treasury stock purchases are stated at cost and presented as a reduction of equity on the unaudited condensed consolidated balance sheets. Repurchases of shares are made in accordance with applicable securities laws and may be made from time to time in the open market, in privately negotiated transactions or by other means. The timing of any repurchases under the share repurchase program is at the discretion of management and depends on a variety of factors, including market conditions, contractual limitations and other considerations. The share repurchase program may be expanded, modified, suspended or discontinued at any time, and does not obligate the Company to repurchase any dollar amount or number of shares.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2026, the Company purchased 726,388 shares of its Class A common stock for a total of $1.1 million, at an average purchase price per share of $1.46.</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remaining balance of the repurchase program was $10.0 million.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NET INCOME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computation of basic and diluted net income per common share is based on net income attributable to Biote stockholders divided by the basic and diluted weighted average number of shares of Class A common stock outstanding. The following table sets forth the computation of net income per common share:</w:t>
      </w:r>
    </w:p>
    <w:tbl>
      <w:tblPr>
        <w:tblW w:w="10205" w:type="dxa"/>
        <w:jc w:val="left"/>
        <w:tblInd w:w="0" w:type="dxa"/>
        <w:tblLayout w:type="fixed"/>
        <w:tblCellMar>
          <w:top w:w="28" w:type="dxa"/>
          <w:left w:w="28" w:type="dxa"/>
          <w:bottom w:w="28" w:type="dxa"/>
          <w:right w:w="28" w:type="dxa"/>
        </w:tblCellMar>
      </w:tblPr>
      <w:tblGrid>
        <w:gridCol w:w="4682"/>
        <w:gridCol w:w="746"/>
        <w:gridCol w:w="211"/>
        <w:gridCol w:w="1036"/>
        <w:gridCol w:w="746"/>
        <w:gridCol w:w="746"/>
        <w:gridCol w:w="211"/>
        <w:gridCol w:w="1036"/>
        <w:gridCol w:w="791"/>
      </w:tblGrid>
      <w:tr>
        <w:trPr/>
        <w:tc>
          <w:tcPr>
            <w:tcW w:w="468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biote Corp. stockholders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 average shares outstanding - basic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30,646,356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31,485,777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Effect of dilutive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5,349,134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5,467,184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35,995,490</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36,952,961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Net income per common share information for the three months ended March 31, 2026 and 2025 reflects only the net income attributable to holders of Biote’s Class A common stock, as well as both basic and diluted weighted average Class A common stock outstanding. Net income per common share is not separately presented for Class V voting stock because it has no economic rights to the income or loss of the Company. Class V voting stock is considered in the calculation of dilutive net income per common share on an if-converted basis as these shares, together with the related non-controlling interests, have redemption rights into Class A common stock that could result in additional Class A common stock being issued. All other potentially dilutive securities are determined based on the treasury stock method.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excluded the following potential shares, presented based on amounts outstanding at each period end, from the computation of diluted weighted average shares outstanding for the periods indicated because including them would have had an antidilutive effect:</w:t>
      </w:r>
    </w:p>
    <w:tbl>
      <w:tblPr>
        <w:tblW w:w="5034" w:type="dxa"/>
        <w:jc w:val="left"/>
        <w:tblInd w:w="0" w:type="dxa"/>
        <w:tblLayout w:type="fixed"/>
        <w:tblCellMar>
          <w:top w:w="28" w:type="dxa"/>
          <w:left w:w="28" w:type="dxa"/>
          <w:bottom w:w="28" w:type="dxa"/>
          <w:right w:w="28" w:type="dxa"/>
        </w:tblCellMar>
      </w:tblPr>
      <w:tblGrid>
        <w:gridCol w:w="2041"/>
        <w:gridCol w:w="146"/>
        <w:gridCol w:w="146"/>
        <w:gridCol w:w="1036"/>
        <w:gridCol w:w="146"/>
        <w:gridCol w:w="146"/>
        <w:gridCol w:w="146"/>
        <w:gridCol w:w="103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Earnout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Sponsor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12,101,415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Litigation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become involved in various legal actions arising in the ordinary course of business. Management is of the opinion that the ultimate liability, if any, from these actions will not have a material effect on its financial condition or results of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Right Value Litigation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30, 2024, a lawsuit was filed in the 162nd Judicial District Court of Dallas County, Texas (the “District Court of Dallas County”) against the Company by Right Value Drug Stores, LLC d/b/a Carie Boyd’s Prescription Shop n/k/a Carie Boyd Pharmaceuticals (“Right Value”). The lawsuit generally alleges breach of contract, fraud, and declaratory judgment (“Right Value Litigation”). The Company has brought counterclaims against Right Value generally for fraud, breach of contract, and quantum meruit.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26, 2025, BioTE Medical entered into a Settlement Agreement (the “Settlement Agreement”) with Right Value. Pursuant to the Settlement Agreement, BioTE Medical agreed to pay Right Value an aggregate amount of $5.0 million, of which $3.5 million was paid in February 2025. The remaining due under the Settlement Agreement was paid in February 2026. In addition to the monetary settlement, the parties identified therein have agreed to, among other things, a customary mutual release of all claims arising out of or relating to the Right Value Litigation, except as expressly provided in the Settlement Agreement. The Settlement Agreement also contains customary representations, warranties and agreements by the parties in addition to the terms described above. </w:t>
      </w:r>
    </w:p>
    <w:p>
      <w:pPr>
        <w:pStyle w:val="TextBody"/>
        <w:bidi w:val="0"/>
        <w:spacing w:before="120" w:after="120"/>
        <w:jc w:val="left"/>
        <w:rPr>
          <w:rFonts w:ascii="Times New Roman" w:hAnsi="Times New Roman"/>
          <w:sz w:val="20"/>
        </w:rPr>
      </w:pPr>
      <w:r>
        <w:rPr>
          <w:rFonts w:ascii="Times New Roman" w:hAnsi="Times New Roman"/>
          <w:i/>
          <w:color w:val="000000"/>
          <w:sz w:val="20"/>
        </w:rPr>
        <w:t>Yosaki and Mioko Trusts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12, 2024, a lawsuit was filed in the Delaware Court of Chancery against Haymaker Sponsor III, LLC, the Company's outside legal counsel, and certain Company executive officers and directors (collectively, “Defendants”) by two trusts (“Plaintiffs”) that allegedly owned shares representing approximately 4.2% of the Company's outstanding stock immediately following the May 26, 2022 transaction with Haymaker Acquisition Corp III. The lawsuit alleges breaches of fiduciary duties, aiding and abetting those alleged breaches, and unjust enrichment. This case was closed on January 7, 2026.</w:t>
      </w:r>
    </w:p>
    <w:p>
      <w:pPr>
        <w:pStyle w:val="TextBody"/>
        <w:bidi w:val="0"/>
        <w:spacing w:before="0" w:after="120"/>
        <w:jc w:val="left"/>
        <w:rPr>
          <w:rFonts w:ascii="Times New Roman" w:hAnsi="Times New Roman"/>
          <w:sz w:val="20"/>
        </w:rPr>
      </w:pPr>
      <w:r>
        <w:rPr>
          <w:rFonts w:ascii="Times New Roman" w:hAnsi="Times New Roman"/>
          <w:b/>
          <w:i/>
          <w:color w:val="000000"/>
          <w:sz w:val="20"/>
        </w:rPr>
        <w:t>Cindy Latch</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November 15, 2024, Cindy Latch, an actress / model who formerly appeared in one BioTE marketing video, filed suit against BioTE alleging misappropriation of her name, image and likeness by both BioTE and various of its approved practitioners and sought a temporary restraining order and temporary injunction. On April 14, 2026, the Company entered into a settlement agreement and release, pursuant to which the Company agreed to pay Ms. Latch an aggregate amount of $0.08 million and is included in accrued liabilities on the Company’s March 31, 2026 unaudited condensed consolidated balance sheet. In addition to the monetary settlement, the parties identified in the suit have agreed to dismiss the suit with prejudice. The settlement agreement contains, among other things, a customary mutual release of all claims, demands, causes of actions and liabilities that were asserted in the suit. The Company paid the amount due under the settlement agreement and release on May 11,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Inventory Purchase 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Purchase obligations, which include legally binding contracts such as firm minimum commitments for inventory purchases are defined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agreements that are enforceable and legally binding and that specify all significant terms, including: fixed or minimum quantities to be purchased; fixed, minimum or variable price provisions; and the approximate timing of the transaction. As of December 31, 2025, the Company had satisfied its 2025 inventory purchase commitments. As of March 31, 2026, the Company had inventory purchase commitments of $2.3 million, which are expected to be paid by December 31, 2026. As of March 31, 2025, the Company did not have any inventory purchase commitments. See Note 21 for additional information on the Company’s inventory purchase 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issues inventory purchase orders in the ordinary course of business, which represent authorizations to purchase inventory from a vendor rather than a binding agreement. Accordingly, purchase orders for inventory are excluded from the obligation above. The Company’s purchase orders are based on its current inventory needs and are filled by the Company’s suppliers within a short period of time.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Tax Distributions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the extent the Company has funds legally available, the board of directors will approve distributions to each stockholder on a quarterly basis, in an amount per share that, when added to all other distributions made to such stockholder with respect to the previous calendar year, equals the estimated federal and state income tax liabilities applicable to such stockholder as the result of its, his or her ownership of the units and the associated net taxable income allocated with respect to such units for the previous calendar year.</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RELATED-PARTY TRANSACTIONS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January 30, 2025, the Company entered into a consulting agreement with Ms. Teresa S. Weber, which provided that Ms. Weber serve as a strategic advisor to the Company and its Board of Directors for up to one year, to assist with the chief executive officer transition and to work on special projects. Under the terms of the consulting agreement, the Company paid Ms. Weber $0.02 million and $0.04 million during the three months ended March 31, 2026 and 2025, respectively. No amounts were due to Ms. Weber as of March 31, 2026, and the Company owed Ms. Weber $0.02 million as of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purchases dietary supplements inventories from a vendor in which the Company’s founder holds a minority interest. The Company did not purchase any inventory from this vendor during the three months ended March 31, 2026 and purchased inventory of $0.08 million during the three months ended March 31, 2025. No amounts were due to the vendor as of March 31, 2026 and December 31, 2025, respectively.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0" w:after="120"/>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—Operating segments are defined as components of an enterprise about which separate financial information is available that is evaluated regularly by the chief operating decision maker in deciding how to allocate resources and in assessing performance. The Company operates as one operating segment. The Company’s Chief Operating Decision Maker ("CODM") is the Chief Executive Officer who reviews financial information presented on a consolidated basis. The CODM uses information about the Company’s consolidated net income (loss) to allocate operating and capital resources and assesses performance of the business by comparing actual net income (loss) results to historical results and previously forecasted financial information. The CODM does not regularly review financial information for individual revenue streams, sales channels, or geographic regions that would allow decisions to be made about the allocation of resources or performance. The Company generates substantially all of its revenue from long-term service agreements and sales of Biote-branded dietary supplements.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w:t>
      </w:r>
    </w:p>
    <w:tbl>
      <w:tblPr>
        <w:tblW w:w="5752" w:type="dxa"/>
        <w:jc w:val="left"/>
        <w:tblInd w:w="0" w:type="dxa"/>
        <w:tblLayout w:type="fixed"/>
        <w:tblCellMar>
          <w:top w:w="28" w:type="dxa"/>
          <w:left w:w="28" w:type="dxa"/>
          <w:bottom w:w="28" w:type="dxa"/>
          <w:right w:w="28" w:type="dxa"/>
        </w:tblCellMar>
      </w:tblPr>
      <w:tblGrid>
        <w:gridCol w:w="2796"/>
        <w:gridCol w:w="146"/>
        <w:gridCol w:w="242"/>
        <w:gridCol w:w="778"/>
        <w:gridCol w:w="191"/>
        <w:gridCol w:w="168"/>
        <w:gridCol w:w="242"/>
        <w:gridCol w:w="778"/>
        <w:gridCol w:w="41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9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9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Other segment items include other operating and maintenance costs and outsourcing costs, such as rent, utilities, merchant fees, contract labor and consulting fees.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See the consolidated financial statements for other financial information regarding the Company’s operating segment.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Total U.S. revenues were $44.7 million and $48.7 million for the three months ended March 31, 2026 and 2025, respectively. See Note 3 Revenue Recognition for additional information about the Company’s revenue by region.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long-lived tangible assets, as well as its operating lease right-of-use assets recognized on the unaudited condensed consolidated balance sheets were located in the U.S.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evaluated subsequent events from March 31, 2026, the date of these unaudited condensed consolidated financial statements, through May 11, 2026, which represents the date the unaudited condensed consolidated financial statements were issued, for events requiring adjustment to or disclosure in these unaudited condensed consolidated financial statements.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Florida Lease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24, 2026, the Company entered into a 127-month operating lease agreement for approximately 40,000 square feet of office and warehouse space in Tampa, Florida. The Company expects to record a right of use asset of approximately $4.6 million in the period in which it gains access to the premises.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Inventory Purchase 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9, 2026, the Company extended its inventory purchase commitment for a term of one year, with the option to extend its commitment until December 31, 2028. The Company expects the additional inventory purchase commitment of $6.3 million to be paid by December 31, 2027.</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Debt Refinancing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May 8, 2026, the Company entered into an amended and restated credit agreement with Truist Bank for $175.0 million (the “Amended Credit Agreement”). The Amended Credit Agreement provides for (i) a $50.0 million senior secured revolving credit facility and (ii) a $125.0 million senior secured term loan credit facility, which was borrowed in full on May 8, 2026. The Company will use the proceeds to refinance and replace its existing Credit Agreement, dated as of May 22, 2022, with Truist Bank, and for general corporate purposes. The Company is currently evaluating the impact of the Amended Credit Agreement on its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discussion and analysis provides information that management believes is relevant to an assessment and understanding of our consolidated results of operations and financial condition. You should read this discussion and analysis in conjunction with the accompanying unaudited condensed consolidated financial statements and notes thereto included elsewhere in this Quarterly Report. Certain amounts may not foot due to rounding. This discussion and analysis contains forward-looking statements and involves numerous risks and uncertainties, including, but not limited to, those discussed in Part I, Item 1A. “Risk Factors” in the 2025 Form 10-K. You should carefully read the information under “Cautionary Note Regarding Forward-Looking Statements” in this Quarterly Report. We assume no obligation to update any of these forward-looking statements except as required by law. Actual results may differ materially from those contained in any forward-looking statements.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Biote trains physicians and nurse practitioners in hormone optimization using bioidentical hormone replacement pellet therapy in men and women experiencing hormonal imbalance. The “Biote Method” is a comprehensive, end-to-end practice building platform that provides Biote-certified practitioners with the following components specifically developed for practitioners in the hormone optimization space: Biote Method education, training and certification, practice management software, inventory management software, and information regarding available HRT products, as well as digital and point-of-care marketing support. We also sell a complementary Biote-branded line of dietary supplements. By virtue of our historical performance over the past 14 years, we believe that our business model has been successful, remains differentiated, and is well positioned for future growth.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go-to-market strategy focuses 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Increase the number of Biote-certified practitioners</w:t>
      </w:r>
      <w:r>
        <w:rPr>
          <w:rFonts w:ascii="Times New Roman" w:hAnsi="Times New Roman"/>
          <w:color w:val="000000"/>
          <w:sz w:val="20"/>
        </w:rPr>
        <w:t>. Our primary objective in marketing to healthcare providers is to inform them of the value in joining the Biote network. We accomplish this through provider referrals, a dedicated sales force, and through digital and traditional marketing channels. We target specific physicians based on their specialty, prescribing data, demographic information and location match within our existing geographic footprint.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Grow the practice of our Biote-certified practitioners and Biote-partnered clinics</w:t>
      </w:r>
      <w:r>
        <w:rPr>
          <w:rFonts w:ascii="Times New Roman" w:hAnsi="Times New Roman"/>
          <w:color w:val="000000"/>
          <w:sz w:val="20"/>
        </w:rPr>
        <w:t>. When the practices of our Biote-certified practitioners and Biote-partnered clinics grow, we grow. We help our Biote-certified practitioners and Biote-partnered clinics grow by, among other things: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mentorship, practice management and marketing capability necessary to operate an efficient hormone optimization practice;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high-quality Biote-branded dietary supplement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Biote-certified practitioners and Biote-partnered clinics a full array of wellness education and marketing materials;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directing consumers that are actively seeking care to Biote-certified practitioners via the “Find A Provider” feature on our company website;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utilizing our growing digital outreach capabilities to connect with consumers seeking general information.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Increasing sales of Biote-branded dietary supplements</w:t>
      </w:r>
      <w:r>
        <w:rPr>
          <w:rFonts w:ascii="Times New Roman" w:hAnsi="Times New Roman"/>
          <w:color w:val="000000"/>
          <w:sz w:val="20"/>
        </w:rPr>
        <w:t xml:space="preserve">. Our Biote-branded dietary supplement line currently includes 26 dietary supplements that we offer to our Biote-certified practitioners through our eCommerce site, efficiently leveraging our core Biote provider platform. Practitioners then re-sell Biote-branded dietary supplements to their patients, enabling patients to receive physician-guided therapies to manage the related effects of aging. Our direct-to-patient eCommerce platform enables practitioners to invite their patients to buy Biote-branded dietary supplements online via our online store. In addition to our direct-to-patient eCommerce platform, our Biote-branded dietary supplements are also offered through our eCommerce platform with Amazon.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portion of the bioidentical hormone pellets used by Biote-certified practitioners are manufactured by our 503B outsourcing facility, Asteria Health; therefore, in order to meet demand we have agreements with AnazaoHealth (the “AnazaoHealth Pharmacy Services Agreement”) and Carie Boyd (the “Outsourcing Facility Services Agreement”) each of which are FDA registered 503B outsourcing facilities. Bioidentical hormone pellets are shipped directly to Biote-certified practitioners. Custody of the bioidentical hormone pellets is with Biote-certified practitioners. However, the bioidentical hormone pellets are recorded as inventory in our consolidated balance sheets from the date of shipment until the point in time they are dispensed by a Biote-certified practitioner. Biote-certified practitioners record the dispensation of bioidentical hormone pellets and monitor inventory levels in the inventory management system that is offered as part of the Biote Method.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Bioidentical hormone pellets have a finite life ranging from six to twelve months. We assume the risk of loss due to expiration, damage or otherwise. Additionally, the products offered in our Biote-branded dietary supplement portfolio are produced by third-party manufacturers located in the United States. We contract with a third party to provide warehousing, co-packing and logistics services for our Biote-branded dietary supplements.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strengthen control over our supply chain, enhance operational efficiency and reduce production costs, we are focused on vertical integration through strategic transactions. For example, in March 2024, we acquired Asteria Health, a 503B outsourcing facility to compound bioidentical hormones. Although Asteria Health has been integrated into our processes, we continue to utilize our current vendor network to manage our supply chain to meet the demands of our Biote-certified clinics. On November 1, 2024, AnazaoHealth provided notice that it was exercising its right to terminate the AnazaoHealth Pharmacy Services Agreement with such termination to be effective as of May 1, 2025. In the second quarter of 2025, we executed a second amendment to the AnazaoHealth Pharmacy Services Agreement effective July 19, 2025 (the “Second Amendment”), which extends the AnazaoHealth Pharmacy Services Agreement through December 31, 2027 and provides for a one-year extension at our discretion. With the Second Amendment in place and through our existing direct manufacturing capabilities, we believe we are well positioned to continue meeting the product demands of our current Biote certified practitioners while focusing on expanding our Biote-certified clinic network.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a summary of our key financial results:</w:t>
      </w:r>
    </w:p>
    <w:tbl>
      <w:tblPr>
        <w:tblW w:w="4446" w:type="dxa"/>
        <w:jc w:val="left"/>
        <w:tblInd w:w="0" w:type="dxa"/>
        <w:tblLayout w:type="fixed"/>
        <w:tblCellMar>
          <w:top w:w="28" w:type="dxa"/>
          <w:left w:w="28" w:type="dxa"/>
          <w:bottom w:w="28" w:type="dxa"/>
          <w:right w:w="28" w:type="dxa"/>
        </w:tblCellMar>
      </w:tblPr>
      <w:tblGrid>
        <w:gridCol w:w="1711"/>
        <w:gridCol w:w="146"/>
        <w:gridCol w:w="245"/>
        <w:gridCol w:w="785"/>
        <w:gridCol w:w="169"/>
        <w:gridCol w:w="169"/>
        <w:gridCol w:w="245"/>
        <w:gridCol w:w="785"/>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*Please refer to “Non-GAAP Measures” below for reconciliations of Adjusted EBITDA to the most directly comparable U.S. GAAP measure, net income, and for additional information about Adjusted EBITDA.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revenue was $44.9 million and $49.0 million, our net income was $2.7 million and $15.8 million and our Adjusted EBITDA was $8.7 million and $13.8 million, for the three months ended March 31, 2026 and 2025, respectively. Please refer to “Non-GAAP Measures” below for reconciliations of Adjusted EBITDA to the most directly comparable U.S. GAAP measure, net income, and for additional information about Adjusted EBITDA.</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Impact of Global Economic Trends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Global economic conditions have been challenging, with disruptions to, and volatility in, the credit and financial markets in the U.S. and worldwide resulting from the effects of public health crises, uncertainties associated with the changes to and by the U.S. federal government and otherwise.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other efforts. A recession or additional market corrections resulting from the impact of the effects of global health crises or geopolitical turmoil, could materially affect our business and the value of our securities. Additionally, we continue to monitor ongoing changes to global trade policies, including the imposition of tariffs. Although the impact of these policies did not have a material impact on our business during the three months ended March 31, 2026 and 2025, the broader economic impact is uncertain, and while we may experience additional operational expenses related to the costs of obtaining materials, we do not expect to be materially impacted in future periods.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inflationary factors, such as increases in the cost of our materials and supplies, interest rates and overhead costs may adversely affect our business and operating results. Inflation and relatively high interest rates also present a recent challenge impacting the U.S. economy and could make it more difficult for us to obtain traditional financing on acceptable terms, if at all, in the future.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international tariffs, consequences associated with global health crises and ongoing international conflicts including the conflict between Russia and Ukraine, conflicts in the Middle East, which have contributed to increased shipping and fuel costs, and employee availability and wage increases, which may result in additional stress on our working capital resources.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Voluntary Recall</w:t>
      </w:r>
    </w:p>
    <w:p>
      <w:pPr>
        <w:pStyle w:val="TextBody"/>
        <w:bidi w:val="0"/>
        <w:spacing w:before="0" w:after="120"/>
        <w:jc w:val="left"/>
        <w:rPr>
          <w:rFonts w:ascii="Times New Roman" w:hAnsi="Times New Roman"/>
          <w:sz w:val="20"/>
        </w:rPr>
      </w:pPr>
      <w:r>
        <w:rPr>
          <w:rFonts w:ascii="Times New Roman" w:hAnsi="Times New Roman"/>
          <w:color w:val="000000"/>
          <w:sz w:val="20"/>
        </w:rPr>
        <w:t>On January 26, 2026, Asteria Health initiated a voluntary recall of specific lots of hormone pellets shipped by Asteria Health between May 20, 2025 and January 20, 2026 due to the potential presence of metal particulate matter (the “January 2026 Voluntary Recall”). Since the initiation of the January 2026 Voluntary Recall, all reasonable efforts have been made to remove such lots from the market in accordance with the recall strategy and the recall is being conducted with the knowledge of the FDA. In the fourth quarter of 2025, we recorded an inventory impairment charge of $1.3 million related to the January 2026 Voluntary Recall. Biote withdrew specific lots of hormone pellets from the market during the three months ended March 31, 2026. We have been working with our supply network to increase inventory levels and to ensure continuity of care throughout our clinic network. Additionally, we continue to improve our hormone pellet inventory at Asteria Health and have executed on our plan to add a second manufacturing shift in order to relieve the supply constraints in the second quarter of 2026. As a result of the January 2026 Voluntary Recall, we estimate our revenue growth from pellet procedures for the three months ended March 31, 2026 was negatively impacted by approximately $1.7 million. Additionally, we incurred approximately $1.5 million in recall-related costs and we expect to incur additional costs in future periods associated with this recall. See Part I, Item 1A, “Risk Factors—</w:t>
      </w:r>
      <w:r>
        <w:rPr>
          <w:rFonts w:ascii="Times New Roman" w:hAnsi="Times New Roman"/>
          <w:i/>
          <w:color w:val="000000"/>
          <w:sz w:val="20"/>
        </w:rPr>
        <w:t>If a compounded drug formulation provided through an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outsourcing facility or a compounding pharmacy leads to patient injury or death or results in a product recall, we may be exposed to significant liabilities and reputational harm</w:t>
      </w:r>
      <w:r>
        <w:rPr>
          <w:rFonts w:ascii="Times New Roman" w:hAnsi="Times New Roman"/>
          <w:color w:val="000000"/>
          <w:sz w:val="20"/>
        </w:rPr>
        <w:t>” in our 2025 Form 10-K for more information.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generate revenue by charging the Biote-partnered clinics fees associated with the Biote Method and from the sale of Biote-branded dietary supplements. Generally, under our master service agreements (“MSAs”) we provide a bundle of goods and services to customers, including initial training to medical practitioners, bioidentical hormone pellets, access to software tools used for inventory and practice management, access to our enhanced proprietary clinical decision support software, and ongoing practice development and marketing support services, which includes a license to use our trademarks and trade names in the customer’s marketing materials.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Substantially all of our revenue originates from sales to clinics located 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generated from individual Biote-partnered clinics varies significantly due to many factors, including but not limited to, the tenure of practitioners as Biote-certified practitioners; the number of certified practitioners in an individual clinic; the number of patients served by a clinic; the clinic’s patient demographics; and the clinic’s geographic location and population density. The MSAs we enter into with Biote-partnered clinics contain tiered pricing provisions for the management fees. These provisions provide for decreasing management fees owed to us based on the number of new patients treated. This can result in declines in revenue we realize from management fees from existing Biote-partnered clinics unless these are offset by revenue generated from new Biote-partnered clinics which begin at higher fee levels under the MSA.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revenue fluctuates in response to a combination of factors, including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sales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mix of male and female patients treated by Biote-certified practitioners, as treatment for males generates more revenue per patient than treatment for females;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overall product mix of dietary supplements sold;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effects of competition on market share;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new Biote-partnered clinics acquired as customers, less any existing clinics lost as customers (“net new clinics”);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number of procedures performed by practitioners;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medical industry acceptance of hormone optimization generally as a solution to unmet medical needs;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effectiveness of our sales and marketing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business days in a particular reporting period, including as a result of holidays;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weather disruptions impacting medical offices’ ability to maintain regular operating schedules;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effects of competition and competitive pricing strategies;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governmental regulations influencing our markets;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global and regional economic cycles.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Product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Product revenue includes both bioidentical hormone pellets, in connection with the service described above, and the related inventory and practice management services provided to clinics. Product revenue is recognized at the point in time when the Biote-partnered clinic obtains ownership of the bioidentical hormone pellet, which we determined to be when the Biote-certified practitioner performs the procedure to implant the bioidentical hormone pellet into their patient. The consideration allocated to this performance obligation is a procedure-based service fee which we refer to as procedure revenue. Our product revenue also includes revenue earned from sales of pellet insertion kits and Biote-branded dietary supplements. Revenue from the sale of pellet insertion kits and Biote-branded dietary supplements is recognized when the clinic or clinic’s patient (supplements only) obtains control of the product, which generally occurs at the time of shipment from our third-party distribution facility or supplier. Any shipping or handling fees paid by clinics are also recorded within product revenue.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Service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Service revenue is revenue earned from fees paid by Biote-partnered clinics for Biote Method education, training and certification services and other contract term services pursuant to our MSAs. While the option to receive and right to use the reusable trocars through the term of the contract represents an embedded lease, we have adopted the practical expedient within ASC 842 to combine the lease and non-lease components and account for the combined component under ASC 606.</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Biote Method arrangements, we recognize revenue for training and for management services over time. For initial training, progress is measured by the number of training sessions completed, and for contract-term services, progress is measured on a time-elapsed basis.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training completion and time-elapsed bases represent the most reliable measure of transfer of control to the clinic for training and contract-term services, respectively. Revenue is deferred for amounts billed or received prior to delivery of the services.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 of product revenues include the pass-through cost of bioidentical hormone pellets purchased from outsourcing facilities, the cost of pellet insertion kits and Biote-branded dietary supplements purchased from manufacturing facilities, and the shipping and handling costs incurred to deliver these products to Biote-partnered clinics. Cost of service revenue consists primarily of costs incurred to deliver trainings to Biote-partnered clinics.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Selling, general and administrative expense consists primarily of software licensing and maintenance, the cost of our sales force and the cost of employees who engage in corporate functions, such as finance and accounting, information technology, human resources, legal, and executive management. Also included are rent occupancy costs, office expenses, recruiting expenses, entertainment allocations, depreciation and amortization, share-based compensation, transaction related expenses, other general overhead costs, insurance premiums, professional service fees, research and development, and costs related to regulatory and legal matters and marketing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net consists primarily of cash and non-cash interest under our Term Loan, commitment fees for the unused portion of our Revolving Loans, accreted interest related to our share repurchase liability, net of interest income earned on our money market account.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Gain from Change in Fair Value of 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Gain from change in fair value of earnout liabilities consists of the change in fair value during the period of the Member and Sponsor earnouts and the earnout related to the acquisition of Simpatra.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expense consists of the foreign currency exchange losses for sales denominated in foreign currencies and other expenses not appropriately classified as operating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and discussion below present our results for the three months ended March 31, 2026 and 2025:</w:t>
      </w:r>
    </w:p>
    <w:p>
      <w:pPr>
        <w:pStyle w:val="TextBody"/>
        <w:bidi w:val="0"/>
        <w:spacing w:before="0" w:after="120"/>
        <w:jc w:val="left"/>
        <w:rPr/>
      </w:pPr>
      <w:r>
        <w:rPr/>
        <w:t> </w:t>
      </w:r>
    </w:p>
    <w:tbl>
      <w:tblPr>
        <w:tblW w:w="7632" w:type="dxa"/>
        <w:jc w:val="left"/>
        <w:tblInd w:w="0" w:type="dxa"/>
        <w:tblLayout w:type="fixed"/>
        <w:tblCellMar>
          <w:top w:w="28" w:type="dxa"/>
          <w:left w:w="28" w:type="dxa"/>
          <w:bottom w:w="28" w:type="dxa"/>
          <w:right w:w="28" w:type="dxa"/>
        </w:tblCellMar>
      </w:tblPr>
      <w:tblGrid>
        <w:gridCol w:w="4476"/>
        <w:gridCol w:w="146"/>
        <w:gridCol w:w="242"/>
        <w:gridCol w:w="778"/>
        <w:gridCol w:w="191"/>
        <w:gridCol w:w="168"/>
        <w:gridCol w:w="242"/>
        <w:gridCol w:w="778"/>
        <w:gridCol w:w="61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for the three months ended March 31, 2026 decreased $4.1 million to $44.9 million, or 8.3%, compared to the three months ended March 31, 2025. Revenue from pellet procedures decreased $4.7 million during the three months ended March 31, 2026, as a result of lower procedure volumes at established Biote-certified clinics and lower productivity of newer Biote-certified clinics, each of which were impacted by a temporary contraction of bioidentical hormone pellet inventory availability and a brief shift in focus of our commercial sales organization to support practitioners during the January 2026 Voluntary Recall, compared to the three months ended March 31, 2025. Further, we estimated that the January 2026 Voluntary Recall negatively impacted revenue growth from pellet procedures by approximately $1.7 million during the three months ended March 31, 2026. Service revenue for the three months ended March 31, 2026 decreased $0.9 million compared to the three months ended March 31, 2025, primarily due to a decline in technology fees earned from physician orders placed through our BioteRx platform. These decreases in revenue for the three months ended March 31, 2026 were partially offset by a $1.8 million improvement in revenue from Biote-branded dietary supplements compared to the three months ended March 31, 2025 due to increased demand from customers purchasing these products through our e-commerce platforms for the three months ended March 31, 2026, compared to the three months ended March 31,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 of revenue for the three months ended March 31, 2026 increased $1.4 million, to $14.0 million, or 10.9%, compared to the three months ended March 31, 2025. Cost of pellet procedures increased 7.7% while revenue from pellet procedures decreased 13.2%. The increase in the cost of pellet procedures reflects a shift in the sourcing of bioidentical hormone pellets from Asteria Health to other third-party outsourcing facilities due to inventory constraints caused by the January 2026 Voluntary Recall, compared to the three months ended March 31, 2025. Cost of Biote branded dietary supplements increased $0.2 million for the three months ended March 31, 2026 primarily as a result of the increase in Biote-branded dietary supplement revenue, compared to the three months ended March 31, 2025. Additionally, cost of services increased $0.3 million due to an increase in continuing education programs offered under the Biote Method to existing Biote-certified practitioners during the three months ended March 31, 2026 compared to the three months ended March 31, 2025.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Selling, general and administrative expense for the three months ended March 31, 2026 increased $1.1 million to $27.8 million, or 4.1%, compared to the three months ended March 31, 2025. The increase for the three months ended March 31, 2026 was primarily due to a $3.3 million increase in legal-related expenses related to claims asserted in normal course of business and expenses incurred to settle various legal matters compared to the three months ended March 31, 2025. This increase in expense was partially offset by a $1.2 million decrease in our bad debt expense, which was driven by lower revenue and the timing of collections on accounts receivable at the end of the quarter.</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net for the three months ended March 31, 2026 decreased $0.9 million to $2.0 million compared to the three months ended March 31, 2025, primarily due to a $1.1 million decline in accreted interest related to our share repurchase liability that was incurred during the three months ended March 31, 2025 that did not reoccur during the three months ended March 31, 2026. Additionally, interest income earned on our money market account declined as a result of lower cash balances during the three months ended March 31, 2026, compared to the three months ended March 31, 2025. These decreases were partially offset by an increase in interest expense on our Revolving Loans, which historically have a higher interest rate on borrowings. As of March 31, 2026, we had $5.0 million outstanding under our Revolving Loans, compared to March 31, 2025 when we had no amounts outstanding under the Revolving Loans.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Gain from Change in Fair Value of Earnout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change in fair value of the earnout liabilities was primarily due to a 48.1% decrease in the closing price of our Class A common stock during the three months ended March 31, 2026. In addition to the changes in the closing price of our Class A common stock, other assumptions used to calculate the fair value of the earnout liability, such as stock price volatility, revenue volatility, estimated timing of satisfying the Triggering Events and the risk-free rate varied from period to period, each of which impacted the fair value of the earnout liability and the associated gain or loss recorded for the periods presented.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change in other expense for the three months ended March 31, 2026, compared with the three months ended March 31, 2025, primarily resulted from foreign currency fluctuations during the period.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Income tax expense for the three months ended March 31, 2026 decreased $1.0 million, compared to the three months ended March 31, 2025. This decrease in expense was primarily driven by a lower year to date and forecasted profit before tax, excluding certain non-includable items.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is a non-GAAP performance measure that provides supplemental information that we believe is useful to analysts and investors to evaluate our ongoing results of operations when considered alongside net income, (the most directly comparable U.S. GAAP measure).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use Adjusted EBITDA as alternative measures to evaluate our operational performance. We calculate Adjusted EBITDA by excluding from net income: interest expense; depreciation and amortization expenses; and income taxes. Additionally, we exclude certain expenses we believe are not indicative of our ongoing operations or operational performance. We present Adjusted EBITDA because it is a key measure used by our management to evaluate our operating performance, generate future operating plans and determine payments under compensation programs. Accordingly, we believe that Adjusted EBITDA provides useful information to investors and others in understanding and evaluating our operating results in the same manner as our management. However, non-GAAP financial information is presented for supplemental informational purposes only, has limitations as an analytical tool and should not be considered in isolation or as a substitute for financial information presented in accordance with U.S. GAAP. Some of these limitations are as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does not reflect tax payments that may represent a reduction in cash available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Adjusted EBITDA is subject to inherent limitations as it reflects the exercise of judgment by Biote’s management about which expenses are excluded or included. Other companies, including companies in our industry, may calculate Adjusted EBITDA or similarly titled non-GAAP measures differently or may use other measures to evaluate their performance, all of which could reduce the usefulness of our Adjusted EBITDA as a tool for comparison. Investors are encouraged to review the reconciliation, and not to rely on any single financial measure to evaluate our business.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reconciliation of net income to Adjusted EBITDA for the three months ended March 31, 2026 and 2025:</w:t>
      </w:r>
    </w:p>
    <w:tbl>
      <w:tblPr>
        <w:tblW w:w="7412" w:type="dxa"/>
        <w:jc w:val="left"/>
        <w:tblInd w:w="0" w:type="dxa"/>
        <w:tblLayout w:type="fixed"/>
        <w:tblCellMar>
          <w:top w:w="28" w:type="dxa"/>
          <w:left w:w="28" w:type="dxa"/>
          <w:bottom w:w="28" w:type="dxa"/>
          <w:right w:w="28" w:type="dxa"/>
        </w:tblCellMar>
      </w:tblPr>
      <w:tblGrid>
        <w:gridCol w:w="4476"/>
        <w:gridCol w:w="146"/>
        <w:gridCol w:w="241"/>
        <w:gridCol w:w="721"/>
        <w:gridCol w:w="189"/>
        <w:gridCol w:w="166"/>
        <w:gridCol w:w="241"/>
        <w:gridCol w:w="841"/>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Interest expense, net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expenses-former owner</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Litigation-other</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Legal settlement and related expenses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expenses</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Merger and acquisition expenses</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cash and non-cash interest on our debt obligations, commitment fees on the unused portion of our Revolving Loans, net of interest income earned on our money market account. For the three months ended March 31, 2025, interest expense, net included $1.1 million of accreted interest related to the share repurchase liability. There was no accreted interest for the three months ended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depreciation expense on property and equipment, amortization expense on capitalized software and amortization expense on purchased intangible assets. Depreciation expense of $0.2 million and $0.01 million was included in cost of products for the three months ended March 31, 2026 and 2025, respectively.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employee compensation expense associated with equity-based stock awards. This includes expense associated with equity incentive instruments including phantom stock awards, stock options and restricted stock units.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legal expenses to defend us against claims asserted by our former owner.</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litigation expenses other than those incurred in connection with claims asserted by the Company’s former owner that are not related to our ongoing business.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legal expenses incurred in connection with litigation settlement gains or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$1.5 million incurred during the three months ended March 31, 2026 related to the January 2026 Voluntary Recall and primarily consists of a $0.9 million impact to cost of revenue and $0.4 million of selling, general and administrative costs. For the three months ended March 31, 2025, this represents strategic consulting and legal expenses related to our CEO transition of $0.3 million and a realized foreign currency loss of less than $0.01 million.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Represents legal fees totaling $0.1 million incurred during the three months ended March 31, 2026 related to strategic opportunities to expand the business. Represents legal fees and professional fees totaling $0.1 million incurred during the three months ended March 31, 2025 to finalize the purchase price allocation of Asteria Health and for other strategic opportunities to expand the business.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liquidity is derived primarily from available cash and cash equivalents, cash generated from operations, capacity under our Revolving Loans and, when necessary, debt and equity financing activities. We believe that for at least the next 12 months, our current cash position, coupled with anticipated cash generated from operations and the capacity under our revolving loans, is sufficient to fund our operations and our debt service obligations. As of March 31, 2026 and December 31, 2025, we had cash and cash equivalents of $5.3 million and $24.1 million, respectively. Additionally, as of each March 31, 2026 and December 31, 2025, respectively, we had $45.0 million of Revolving Loans available under our Truist Credit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our inception, we have financed our operations and capital expenditures primarily through capital investment from our founder and other members, debt financing in the form of short-term lines of credit and long-term notes payable, and net cash inflows from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operating and capital expenditures to increase as we increase headcount, expand our operations and grow our clinic base. If additional funds are required to support our working capital requirements, acquisitions or other purposes, we may seek to raise funds through additional debt or equity financings or from other sources.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business that could impair our operating flexibility and also require us to incur additional interest expense. We can provide no assurance that additional financing will be available at all or, if available, that we would be able to obtain additional financing on terms favorable to us.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unaudited condensed consolidated cash flows:</w:t>
      </w:r>
    </w:p>
    <w:tbl>
      <w:tblPr>
        <w:tblW w:w="6672" w:type="dxa"/>
        <w:jc w:val="left"/>
        <w:tblInd w:w="0" w:type="dxa"/>
        <w:tblLayout w:type="fixed"/>
        <w:tblCellMar>
          <w:top w:w="28" w:type="dxa"/>
          <w:left w:w="28" w:type="dxa"/>
          <w:bottom w:w="28" w:type="dxa"/>
          <w:right w:w="28" w:type="dxa"/>
        </w:tblCellMar>
      </w:tblPr>
      <w:tblGrid>
        <w:gridCol w:w="3916"/>
        <w:gridCol w:w="146"/>
        <w:gridCol w:w="241"/>
        <w:gridCol w:w="841"/>
        <w:gridCol w:w="189"/>
        <w:gridCol w:w="166"/>
        <w:gridCol w:w="241"/>
        <w:gridCol w:w="721"/>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Cash Flows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flows from operating activities result primarily from fees associated with the Biote Method and from the sale of Biote-branded dietary supplements. Cash flows from operating activities are affected by earnings levels and changes in working capital related to our business. Working capital varies from period to period and can be affected by changes in our inventory levels due to varying demand for our products, the timing of cash collections on accounts receivable and the timing of repayment of our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operating activities for the three months ended March 31, 2026 decreased $2.6 million to $3.9 million compared to cash provided by operating activities of $6.5 million for the three months ended March 31, 2025. Non-cash activity during the three months ended March 31, 2026, such as an $8.5 million reduction in gain from change in fair value of earnout liabilities coupled with the decline in net income impacted our overall operating position compared to the three months ended March 31, 2025. Our cash flow from working capital for the three months ended March 31, 2026, was primarily impacted by a $3.9 million increase in cash provided by accounts payable and a $2.9 million increase in cash provided by accrued liabilities compared to the three months ended March 31, 2025. The change in accrued liabilities was primarily driven by a $2.0 million reduction in payments made to settle legal matters with one of our vendors compared to the three months ended March 31, 2025. This change was partially offset by an increase in accrued professional fees for legal services, audit and tax services, and other general corporate expenses compared with the three months ended March 31, 2025. During the three months ended March 31, 2026 shifts within the composition of pellet inventory resulting from the January 2026 Voluntary Recall and a build in Biote-branded dietary supplement inventory to meet current demand outweighed the decrease in inventory during the three months ended March 31, 2025 resulting in a $0.7 million unfavorable impact to working capital. Additionally, our accounts receivable increased during each of the three months ended March 31, 2026 and 2025; however, the increase in accounts receivable for the three months ended March 31, 2025 outweighed the increase for the three months ended March 31, 2026, providing $0.8 million in cash over the prior year period. The increase in accounts receivable for each of the three months ended March 31, 2026 and 2025 was attributed to the timing of collection efforts during each of the respective periods and an increase in revenue during the three months ended March 31,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investing activities decreased $0.7 million to $1.2 million for the three months ended March 31, 2026, compared to $1.8 million for the three months ended March 31, 2025. This decrease was principally driven by a $0.9 million investment in leasehold improvements and other fixed assets for our 503B compounding facility during the three months ended March 31, 2025, that did not reoccur during the three months ended March 31, 2026. The decrease in cash used by investing activities was partially offset by an increase in investments in our internally developed software during the three months ended March 31, 2026, compared to the three months ended March 31,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used in financing activities increased $19.3 million to $21.5 million for the three months ended March 31, 2026, compared to $2.3 million for the three months ended March 31, 2025. The increase in our cash flow used in financing activities was primary driven by the timing of the final $18.5 million cash payment required under our repurchase liabilities compared to the three months ended March 31, 2025. As of March 31, 2026, we had fully repaid all obligations associated with the share repurchase liabilities. Additionally, during the three months ended March 31, 2026, we used $1.1 million of cash to repurchase 726,388 shares of our Class A common stock at an average price of $1.46 per share.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are based upon our unaudited condensed consolidated financial statements, which have been prepared in accordance with U.S. GAAP. In preparing the unaudited condensed consolidated financial statements, we make estimates and judgments that affect the reported amounts of assets, liabilities, revenue, expenses, and related contingent liabilities. The methods, estimates, and judgments that we use in applying our accounting policies have a significant impact on the results that we report in our unaudited condensed consolidated financial statements. Some of our accounting policies require us to make difficult and subjective judgments, often as a result of the need to make estimates regarding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matters that are inherently uncertain. Our estimates are based on historical experience, current economic and industry conditions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See Note 2, Significant Accounting Policies, to the audited consolidated financial statements included in our 2025 Form 10-K for more information about our significant accounting policies, including our critical accounting policies. The critical accounting estimates that reflect our most significant judgments and estimates used in the preparation of our consolidated financial statements are described in Part II, Item 7 “Management's Discussion and Analysis of Financial Condition and Results of Operations,” included in our 2025 Form 10-K. During the three months ended March 31, 2026, there were no material changes to our critical accounting policies and estimates from those discussed in our 2025 Form 10-K.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a description of recent accounting pronouncements, see “Recently Adopted Accounting Pronouncements” and “Recent Accounting Pronouncements Not Yet Adopted” in Note 2 to the unaudited condensed consolidated financial statements included elsewhere in this Quarterly Report.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of 1933, as amended (the “Securities Act”), as modified by the Jumpstart Our Business Startups Act of 2012 (the “JOBS Act”). Section 107 of the JOBS Act provides that an emerging growth company can take advantage of an extended transition period provided in Section 7(a)(2)(B) of the Securities Act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will remain an emerging growth company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spacing w:before="240" w:after="120"/>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smaller reporting company as defined by Item 10 of Regulation S-K and are not required to provide the information otherwise required under this item.</w:t>
      </w:r>
    </w:p>
    <w:p>
      <w:pPr>
        <w:pStyle w:val="TextBody"/>
        <w:bidi w:val="0"/>
        <w:spacing w:before="0" w:after="120"/>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and based upon the criteria established in Internal Control-Integrated Framework (2013) issued by the Committee of Sponsoring Organizations of the Treadway Commission (the “COSO framework”),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of March 31, 2026 based upon the COSO framework. Based upon the evaluation under these criteria, our Chief Executive Officer and Chief Financial Officer concluded that, as of such date, our disclosure controls and procedures were not effective at a reasonable assurance level based on the prior material weakness that existed in our internal control over financial reporting as described below. Notwithstanding the identified material weakness, management, including our Chief Executive Officer and Chief Financial Officer, believes the consolidated financial statements included in this Quarterly Report fairly present, in all material respects, our financial condition, results of operations and cash flows at and for the periods presented in accordance with U.S. GAAP.</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Remediation Efforts to Address Previously Reported Material Weaknesses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course of preparing financial statements for the fiscal years ended December 31, 2020 and 2019, we identified a material weakness in the aggregate in our internal control over financial reporting. Specifically, we determined that we did not maintain an effective control environment as we did not maintain a sufficient complement of qualified technical accounting and financial reporting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personnel to perform control activities, including those involving complex and/or non-routine transactions particularly related to revenue recognition, financial instruments, and equity. Additionally, we determined that we did not maintain appropriate control and monitoring activities as we identified control issues related to information technology general controls in connection with change management, user access controls, segregation of duties as it relates to user access controls and a lack of segregation of duties within our information technology environment. This resulted in incorrect accounting entries that were identified and corrected through the audit of our fiscal years ended December 31, 2020 and 2019</w:t>
      </w:r>
      <w:r>
        <w:rPr>
          <w:rFonts w:ascii="Times New Roman" w:hAnsi="Times New Roman"/>
          <w:i/>
          <w:color w:val="000000"/>
          <w:sz w:val="20"/>
        </w:rPr>
        <w:t xml:space="preserve">. </w:t>
      </w:r>
      <w:r>
        <w:rPr>
          <w:rFonts w:ascii="Times New Roman" w:hAnsi="Times New Roman"/>
          <w:color w:val="000000"/>
          <w:sz w:val="20"/>
        </w:rPr>
        <w:t>In addition, this material weakness resulted in errors in the financial statements and related disclosures in our Quarterly Reports on Form 10-Q for the quarters ended June 30, 2022 and September 30, 2022. This material weakness has not been remediated as of March 31,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order to address this previously reported material weakness, we hired additional accounting and finance personnel with technical accounting and financial reporting experience as well as implemented procedures and controls in the financial statement close process, which include enhanced system capabilities in most areas, enhanced reconciliation controls, enhanced review controls and financial close checklists which ensure all necessary reviews and reconciliations are occurring as designed. Additionally, we also have access to accounting training, literature, research materials and increased communication among our personnel and outsourced third-party professionals with whom we may consult regarding the application of complex accounting transactions. We have reviewed and assessed access within our information systems in light of our limited staff and began implementing mitigating controls where system-level segregation may not be feasible. Additionally, we have formalized our policies and procedures and designed controls to improve our user access reviews and change management procedures for key systems and have enacted a plan to commence testing these controls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our efforts are ongoing and we are continuing to take additional steps to address this material weakness, our remediation plan can only be accomplished over time and will be continually reviewed to determine that we are achieving our objectives. There is no assurance that these initiatives will ultimately have the intended effects, and we cannot guarantee that these objectives will prevent or detect material weaknesses in the future. The material weakness will not be considered remediated until our management designs and implements effective controls that operate for a sufficient period of time and our management has concluded through testing that these controls are effective. Although we are working to remediate the identified material weakness, we can provide no assurance that the material weakness will be remediated during fiscal year 2026. Although we are working to remediate the identified material weakness, we can provide no assurance that the material weakness will be remediated during fiscal year 2026.</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the material weakness remediation activities described above, there were no changes in our internal control over financial reporting, as identified in connection with evaluation required by Rules 13a-15(d) and 15d-15(d) under the Exchange Act, that occurred during the three months ended March 31,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0" w:after="120"/>
        <w:jc w:val="left"/>
        <w:rPr>
          <w:rFonts w:ascii="Times New Roman" w:hAnsi="Times New Roman"/>
          <w:sz w:val="20"/>
        </w:rPr>
      </w:pPr>
      <w:r>
        <w:rPr>
          <w:rFonts w:ascii="Times New Roman" w:hAnsi="Times New Roman"/>
          <w:i/>
          <w:color w:val="000000"/>
          <w:sz w:val="20"/>
        </w:rPr>
        <w:t>Unless the context otherwise requires, all references in Part II of this Quarterly Report to the “Company,” “Biote,” “we,” “us, or “our” refer to biote Corp, inclusive of its consolidated subsidiaries, and, unless otherwise noted, “Holdings” refers to BioTE Holdings, LLC, together with its direct and indirect subsidiaries</w:t>
      </w:r>
      <w:r>
        <w:rPr>
          <w:rFonts w:ascii="Times New Roman" w:hAnsi="Times New Roman"/>
          <w:b/>
          <w:i/>
          <w:color w:val="000000"/>
          <w:sz w:val="20"/>
        </w:rPr>
        <w:t>.</w:t>
      </w:r>
    </w:p>
    <w:p>
      <w:pPr>
        <w:pStyle w:val="TextBody"/>
        <w:bidi w:val="0"/>
        <w:spacing w:before="240" w:after="120"/>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Regardless of the outcome, litigation has the potential to have an adverse impact on us due to defense costs and possible settlement expenses, diversion of management resources and other factors.</w:t>
      </w:r>
    </w:p>
    <w:p>
      <w:pPr>
        <w:pStyle w:val="TextBody"/>
        <w:bidi w:val="0"/>
        <w:spacing w:before="0" w:after="120"/>
        <w:jc w:val="left"/>
        <w:rPr>
          <w:rFonts w:ascii="Times New Roman" w:hAnsi="Times New Roman"/>
          <w:sz w:val="20"/>
        </w:rPr>
      </w:pPr>
      <w:r>
        <w:rPr>
          <w:rFonts w:ascii="Times New Roman" w:hAnsi="Times New Roman"/>
          <w:b/>
          <w:i/>
          <w:color w:val="000000"/>
          <w:sz w:val="20"/>
        </w:rPr>
        <w:t>Right Value Litigation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January 30, 2024, a lawsuit was filed in the 162nd Judicial District Court of Dallas County, Texas (the “District Court of Dallas County”) against the Company by Right Value Drug Stores, LLC d/b/a Carie Boyd’s Prescription Shop n/k/a Carie Boyd Pharmaceuticals (“Right Value”). The lawsuit generally alleges breach of contract, fraud, and declaratory judgment (“Right Value Litigation”). The Company has brought counterclaims against Right Value generally for fraud, breach of contract, and quantum meruit.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February 26, 2025, BioTE Medical entered into a Settlement Agreement (the “Settlement Agreement”) with Right Value. Pursuant to the Settlement Agreement, BioTE Medical agreed to pay Right Value an aggregate amount of $5.0 million, of which $3.5 million was paid in February 2025. The remaining due under the Settlement Agreement was paid in February 2026. In addition to the monetary settlement, the parties identified therein have agreed to, among other things, a customary mutual release of all claims arising out of or relating to the Right Value Litigation, except as expressly provided in the Settlement Agreement. The Settlement Agreement also contains customary representations, warranties and agreements by the parties in addition to the terms described above. </w:t>
      </w:r>
    </w:p>
    <w:p>
      <w:pPr>
        <w:pStyle w:val="TextBody"/>
        <w:bidi w:val="0"/>
        <w:spacing w:before="0" w:after="120"/>
        <w:jc w:val="left"/>
        <w:rPr>
          <w:rFonts w:ascii="Times New Roman" w:hAnsi="Times New Roman"/>
          <w:sz w:val="20"/>
        </w:rPr>
      </w:pPr>
      <w:r>
        <w:rPr>
          <w:rFonts w:ascii="Times New Roman" w:hAnsi="Times New Roman"/>
          <w:b/>
          <w:i/>
          <w:color w:val="000000"/>
          <w:sz w:val="20"/>
        </w:rPr>
        <w:t>Yosaki and Mioko Trusts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12, 2024, a lawsuit was filed in the Delaware Court of Chancery against Haymaker Sponsor III, LLC, the Company's outside legal counsel, and certain Company executive officers and directors (collectively, “Defendants”) by two trusts (“Plaintiffs”) that allegedly owned shares representing approximately 4.2% of the Company's outstanding stock immediately following the May 26, 2022 transaction with Haymaker Acquisition Corp III. The lawsuit alleges breaches of fiduciary duties, aiding and abetting those alleged breaches, and unjust enrichment (“July 12, 2024 Litigation”). This case was closed on January 7, 2026.</w:t>
      </w:r>
    </w:p>
    <w:p>
      <w:pPr>
        <w:pStyle w:val="TextBody"/>
        <w:bidi w:val="0"/>
        <w:spacing w:before="0" w:after="120"/>
        <w:jc w:val="left"/>
        <w:rPr>
          <w:rFonts w:ascii="Times New Roman" w:hAnsi="Times New Roman"/>
          <w:sz w:val="20"/>
        </w:rPr>
      </w:pPr>
      <w:r>
        <w:rPr>
          <w:rFonts w:ascii="Times New Roman" w:hAnsi="Times New Roman"/>
          <w:b/>
          <w:i/>
          <w:color w:val="000000"/>
          <w:sz w:val="20"/>
        </w:rPr>
        <w:t>Cindy Latch</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November 15, 2024, Cindy Latch, an actress / model who formerly appeared in one BioTE marketing video, filed suit against BioTE alleging misappropriation of her name, image and likeness by both BioTE and various of its approved practitioners and sought a temporary restraining order and temporary injunction. On April 14, 2026, the Company entered into a settlement agreement and release, pursuant to which the Company agreed to pay Ms. Latch an aggregate amount of $0.08 million. In addition to the monetary settlement, the parties identified in the suit have agreed to dismiss the suit with prejudice. The settlement agreement contains, among other things, a customary mutual release of all claims, demands, causes of actions and liabilities that were asserted in the suit. The Company paid the amount due under the settlement agreement and release on May 11, 2026.</w:t>
      </w:r>
    </w:p>
    <w:p>
      <w:pPr>
        <w:pStyle w:val="TextBody"/>
        <w:bidi w:val="0"/>
        <w:spacing w:before="240" w:after="12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material changes from the risk factors discussed in Part I, Item 1A “Risk Factors” of our 2025 Form 10-K. Risks and uncertainties identified in our forward-looking statements contained in this Quarterly Report together with those previously disclosed in our 2025 Form 10-K or those that are presently unforeseen could result in significant adverse effects on our financial condition, results of operations and cash flows. See “Cautionary Note Regarding Forward-Looking Statements” and Part I, Item 2, “Management’s Discussion and Analysis of Financial Condition and Results of Operations” in this Quarterly Report as well as Part I, Item 1A, “Risk Factors” in our 2025 Form 10-K.</w:t>
      </w:r>
    </w:p>
    <w:p>
      <w:pPr>
        <w:pStyle w:val="TextBody"/>
        <w:bidi w:val="0"/>
        <w:spacing w:before="240" w:after="120"/>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24, 2024, our Board of Directors approved a share repurchase program authorizing the repurchase of up to $20.0 million of our outstanding Class A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program grants management the authority to repurchase our Class A common stock in the open market, in privately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negotiated transactions or by other means in accordance with applicable state and federal securities laws. The timing of any repurchases under the share repurchase program is at the discretion of management and depends on a variety of factors, including market conditions, contractual limitations and other considerations. The share repurchase program may be expanded, modified, suspended or discontinued at any time, and does not obligate the Company to repurchase any dollar amount or number of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2026, we repurchased 726,388 shares of our Class A common stock for a total of $1.1 million, at an average purchase price per share of $1.46 per share. As of March 31, 2026, approximately $10.0 million remained available for additional share repurchases. The following table summarizes the repurchases of our Class A common stock for the 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9"/>
        <w:gridCol w:w="146"/>
        <w:gridCol w:w="212"/>
        <w:gridCol w:w="1136"/>
        <w:gridCol w:w="146"/>
        <w:gridCol w:w="146"/>
        <w:gridCol w:w="342"/>
        <w:gridCol w:w="760"/>
        <w:gridCol w:w="146"/>
        <w:gridCol w:w="146"/>
        <w:gridCol w:w="357"/>
        <w:gridCol w:w="1910"/>
        <w:gridCol w:w="146"/>
        <w:gridCol w:w="146"/>
        <w:gridCol w:w="450"/>
        <w:gridCol w:w="2212"/>
        <w:gridCol w:w="295"/>
      </w:tblGrid>
      <w:tr>
        <w:trPr/>
        <w:tc>
          <w:tcPr>
            <w:tcW w:w="1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11,043,947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11,043,947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9,973,379</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726,388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726,388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Trading Arrangements.</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
        <w:gridCol w:w="146"/>
        <w:gridCol w:w="9321"/>
      </w:tblGrid>
      <w:tr>
        <w:trPr/>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738"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Business Combination Agreement, dated as of December 13, 2021, by and among the Company, Haymaker Sponsor III LLC, Dr. Gary Donovitz, in his capacity, and Teresa S. Weber, in her capacity as the Members’ Representative (Incorporated by reference to Exhibit 2.1 of Haymaker Acquisition Corp. III’s Current Report on Form 8-K (File No. 001-40128) filed with the SEC on December 14, 2021).</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Certificate of Incorporation of biote Corp. (Incorporated by reference to Exhibit 3.1 to the Company’s Current Report on Form 8-K (File No. 001-40128) filed with the SEC on June 2, 2022).</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biote Corp. (Incorporated by reference to Exhibit 3.1 to the Company’s Current Report on Form 8-K (File No. 001-40128) filed with the SEC on February 22, 2023).</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10_1.htm">
              <w:r>
                <w:rPr>
                  <w:rStyle w:val="InternetLink"/>
                  <w:rFonts w:ascii="Times New Roman" w:hAnsi="Times New Roman"/>
                  <w:color w:val="0000FF"/>
                  <w:sz w:val="20"/>
                  <w:u w:val="single"/>
                </w:rPr>
                <w:t>Amended and Restated Credit Agreement, dated as of May 8, 2026, by and among BioTE Medical, LLC, BioTE Holdings, LLC, the guarantors identified therein, the lenders party thereto from time to time, Truist Bank, as Administrative Agent, Swingline Lender and Issuing Bank, Texas Capital Bank and Western Alliance Bank, as Co-Documentation Agents, Truist Securities, Inc. and BofA Securities, Inc. as Joint Lead Arrangers and Joint Bookrunners.</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1_2.htm">
              <w:r>
                <w:rPr>
                  <w:rStyle w:val="InternetLink"/>
                  <w:rFonts w:ascii="Times New Roman" w:hAnsi="Times New Roman"/>
                  <w:color w:val="0000FF"/>
                  <w:sz w:val="20"/>
                  <w:u w:val="single"/>
                </w:rPr>
                <w:t>Certification of Principal Financial Officer and Principal Accounting Officer Pursuant to Rules 13a-14(a) and 15d-14(a) under the Securities Exchange Act of 1934, as Adopted Pursuant to Section 302 of the Sarbanes-Oxley Act of 2002.</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tmd-ex32_2.htm">
              <w:r>
                <w:rPr>
                  <w:rStyle w:val="InternetLink"/>
                  <w:rFonts w:ascii="Times New Roman" w:hAnsi="Times New Roman"/>
                  <w:color w:val="0000FF"/>
                  <w:sz w:val="20"/>
                  <w:u w:val="single"/>
                </w:rPr>
                <w:t>Certification of Principal Financial Officer and Principal Accounting Officer Pursuant to 18 U.S.C. Section 1350, as Adopted Pursuant to Section 906 of the Sarbanes-Oxley Act of 2002.</w:t>
              </w:r>
            </w:hyperlink>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 and not deemed to be “filed” for purposes of Section 18 of the Exchange Act and shall not be deemed to be incorporated by reference into any filing under the Securities Act or the Exchange Act (whether made before or after the date of this Quarterly Report on Form 10-Q), irrespective of any general incorporation language contained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schedules and exhibits to this exhibit have been omitted pursuant to Item 601(a)(5) of Regulation S-K. A copy of any omitted schedule and/or exhibit will be furnished to the SEC upon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portions of this exhibit have been omitted pursuant to Regulation S-K Item (601)(b)(10).</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137" w:type="dxa"/>
        <w:jc w:val="left"/>
        <w:tblInd w:w="0" w:type="dxa"/>
        <w:tblLayout w:type="fixed"/>
        <w:tblCellMar>
          <w:top w:w="28" w:type="dxa"/>
          <w:left w:w="28" w:type="dxa"/>
          <w:bottom w:w="28" w:type="dxa"/>
          <w:right w:w="28" w:type="dxa"/>
        </w:tblCellMar>
      </w:tblPr>
      <w:tblGrid>
        <w:gridCol w:w="1741"/>
        <w:gridCol w:w="109"/>
        <w:gridCol w:w="406"/>
        <w:gridCol w:w="288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BIOTE CORP.</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C. Peterson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Robert C. Peterson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Title: Chief Financial Officer</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sz w:val="20"/>
              </w:rPr>
            </w:pPr>
            <w:r>
              <w:rPr>
                <w:rFonts w:ascii="Times New Roman" w:hAnsi="Times New Roman"/>
                <w:b/>
                <w:i/>
                <w:color w:val="000000"/>
                <w:sz w:val="20"/>
              </w:rPr>
              <w:t>Principal Accounting Officer</w:t>
            </w: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2" w:name="btmd-ex10_1.htm"/>
      <w:bookmarkStart w:id="23" w:name="ksbtmdex10_1"/>
      <w:bookmarkEnd w:id="22"/>
      <w:bookmarkEnd w:id="23"/>
      <w:r>
        <w:rPr>
          <w:rFonts w:ascii="Times New Roman" w:hAnsi="Times New Roman"/>
          <w:b/>
          <w:color w:val="000000"/>
          <w:sz w:val="22"/>
        </w:rPr>
        <w:t>Exhibit 10.1</w:t>
      </w:r>
      <w:r>
        <w:br w:type="page"/>
      </w:r>
    </w:p>
    <w:p>
      <w:pPr>
        <w:pStyle w:val="TextBody"/>
        <w:bidi w:val="0"/>
        <w:jc w:val="left"/>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Certain identified information marked with [***] has been excluded from the exhibit because it is both not material and is the type that the registrant treats as private or confidential.</w:t>
      </w:r>
    </w:p>
    <w:p>
      <w:pPr>
        <w:pStyle w:val="TextBody"/>
        <w:bidi w:val="0"/>
        <w:jc w:val="center"/>
        <w:rPr/>
      </w:pPr>
      <w:r>
        <w:rPr/>
        <w:t> </w:t>
      </w:r>
    </w:p>
    <w:p>
      <w:pPr>
        <w:pStyle w:val="TextBody"/>
        <w:bidi w:val="0"/>
        <w:jc w:val="center"/>
        <w:rPr/>
      </w:pPr>
      <w:r>
        <w:rPr/>
        <w:t> </w:t>
      </w:r>
    </w:p>
    <w:tbl>
      <w:tblPr>
        <w:tblW w:w="2867" w:type="dxa"/>
        <w:jc w:val="left"/>
        <w:tblInd w:w="0" w:type="dxa"/>
        <w:tblLayout w:type="fixed"/>
        <w:tblCellMar>
          <w:top w:w="28" w:type="dxa"/>
          <w:left w:w="28" w:type="dxa"/>
          <w:bottom w:w="28" w:type="dxa"/>
          <w:right w:w="28" w:type="dxa"/>
        </w:tblCellMar>
      </w:tblPr>
      <w:tblGrid>
        <w:gridCol w:w="1531"/>
        <w:gridCol w:w="1336"/>
      </w:tblGrid>
      <w:tr>
        <w:trPr/>
        <w:tc>
          <w:tcPr>
            <w:tcW w:w="15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ind w:left="0" w:right="0" w:firstLine="634"/>
              <w:jc w:val="left"/>
              <w:rPr>
                <w:sz w:val="4"/>
                <w:szCs w:val="4"/>
              </w:rPr>
            </w:pPr>
            <w:r>
              <w:rPr>
                <w:sz w:val="4"/>
                <w:szCs w:val="4"/>
              </w:rPr>
            </w:r>
          </w:p>
        </w:tc>
      </w:tr>
      <w:tr>
        <w:trPr/>
        <w:tc>
          <w:tcPr>
            <w:tcW w:w="2867" w:type="dxa"/>
            <w:gridSpan w:val="2"/>
            <w:tcBorders>
              <w:bottom w:val="single" w:sz="4" w:space="0" w:color="000000"/>
            </w:tcBorders>
            <w:shd w:fill="F1F1F1" w:val="clear"/>
            <w:tcMar>
              <w:top w:w="0" w:type="dxa"/>
              <w:left w:w="0" w:type="dxa"/>
              <w:right w:w="0" w:type="dxa"/>
            </w:tcMar>
            <w:vAlign w:val="center"/>
          </w:tcPr>
          <w:p>
            <w:pPr>
              <w:pStyle w:val="TableContents"/>
              <w:bidi w:val="0"/>
              <w:spacing w:before="40" w:after="283"/>
              <w:ind w:left="0" w:right="0" w:firstLine="634"/>
              <w:jc w:val="left"/>
              <w:rPr>
                <w:rFonts w:ascii="Times New Roman" w:hAnsi="Times New Roman"/>
                <w:b/>
                <w:color w:val="000000"/>
                <w:sz w:val="22"/>
              </w:rPr>
            </w:pPr>
            <w:r>
              <w:rPr>
                <w:rFonts w:ascii="Times New Roman" w:hAnsi="Times New Roman"/>
                <w:b/>
                <w:color w:val="000000"/>
                <w:sz w:val="22"/>
              </w:rPr>
              <w:t>CUSIP NUMBERS</w:t>
            </w:r>
          </w:p>
        </w:tc>
      </w:tr>
      <w:tr>
        <w:trPr/>
        <w:tc>
          <w:tcPr>
            <w:tcW w:w="15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General:</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09077PAA1</w:t>
            </w:r>
          </w:p>
        </w:tc>
      </w:tr>
      <w:tr>
        <w:trPr/>
        <w:tc>
          <w:tcPr>
            <w:tcW w:w="1531" w:type="dxa"/>
            <w:tcBorders/>
            <w:tcMar>
              <w:top w:w="0" w:type="dxa"/>
              <w:left w:w="0" w:type="dxa"/>
              <w:bottom w:w="0" w:type="dxa"/>
              <w:right w:w="0" w:type="dxa"/>
            </w:tcMar>
            <w:vAlign w:val="center"/>
          </w:tcPr>
          <w:p>
            <w:pPr>
              <w:pStyle w:val="TableContents"/>
              <w:bidi w:val="0"/>
              <w:spacing w:before="0" w:after="283"/>
              <w:ind w:left="0" w:right="0" w:firstLine="2"/>
              <w:jc w:val="right"/>
              <w:rPr>
                <w:rFonts w:ascii="Times New Roman" w:hAnsi="Times New Roman"/>
                <w:b/>
                <w:color w:val="000000"/>
                <w:sz w:val="22"/>
              </w:rPr>
            </w:pPr>
            <w:r>
              <w:rPr>
                <w:rFonts w:ascii="Times New Roman" w:hAnsi="Times New Roman"/>
                <w:b/>
                <w:color w:val="000000"/>
                <w:sz w:val="22"/>
              </w:rPr>
              <w:t>Revolver:</w:t>
            </w:r>
          </w:p>
        </w:tc>
        <w:tc>
          <w:tcPr>
            <w:tcW w:w="1336" w:type="dxa"/>
            <w:tcBorders/>
            <w:tcMar>
              <w:top w:w="0" w:type="dxa"/>
              <w:left w:w="0" w:type="dxa"/>
              <w:bottom w:w="0" w:type="dxa"/>
              <w:right w:w="0" w:type="dxa"/>
            </w:tcMar>
            <w:vAlign w:val="center"/>
          </w:tcPr>
          <w:p>
            <w:pPr>
              <w:pStyle w:val="TableContents"/>
              <w:bidi w:val="0"/>
              <w:spacing w:before="0" w:after="283"/>
              <w:ind w:left="0" w:right="0" w:firstLine="2"/>
              <w:jc w:val="left"/>
              <w:rPr>
                <w:rFonts w:ascii="Times New Roman" w:hAnsi="Times New Roman"/>
                <w:b/>
                <w:color w:val="000000"/>
                <w:sz w:val="22"/>
              </w:rPr>
            </w:pPr>
            <w:r>
              <w:rPr>
                <w:rFonts w:ascii="Times New Roman" w:hAnsi="Times New Roman"/>
                <w:b/>
                <w:color w:val="000000"/>
                <w:sz w:val="22"/>
              </w:rPr>
              <w:t>09077PAB9</w:t>
            </w:r>
          </w:p>
        </w:tc>
      </w:tr>
      <w:tr>
        <w:trPr/>
        <w:tc>
          <w:tcPr>
            <w:tcW w:w="15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Term Loan A:</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09077PAD5</w:t>
            </w:r>
          </w:p>
        </w:tc>
      </w:tr>
    </w:tbl>
    <w:p>
      <w:pPr>
        <w:pStyle w:val="TextBody"/>
        <w:bidi w:val="0"/>
        <w:spacing w:before="244" w:after="283"/>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AMENDED AND RESTATED CREDIT AGREEMENT</w:t>
      </w:r>
    </w:p>
    <w:p>
      <w:pPr>
        <w:pStyle w:val="TextBody"/>
        <w:bidi w:val="0"/>
        <w:spacing w:before="240" w:after="283"/>
        <w:jc w:val="center"/>
        <w:rPr>
          <w:rFonts w:ascii="Times New Roman" w:hAnsi="Times New Roman"/>
          <w:sz w:val="20"/>
        </w:rPr>
      </w:pPr>
      <w:r>
        <w:rPr>
          <w:rFonts w:ascii="Times New Roman" w:hAnsi="Times New Roman"/>
          <w:color w:val="000000"/>
          <w:sz w:val="22"/>
        </w:rPr>
        <w:t>dated as of May 8,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among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BIOTE MEDICAL, LLC,</w:t>
      </w:r>
    </w:p>
    <w:p>
      <w:pPr>
        <w:pStyle w:val="TextBody"/>
        <w:bidi w:val="0"/>
        <w:jc w:val="center"/>
        <w:rPr>
          <w:rFonts w:ascii="Times New Roman" w:hAnsi="Times New Roman"/>
          <w:color w:val="000000"/>
          <w:sz w:val="22"/>
        </w:rPr>
      </w:pPr>
      <w:r>
        <w:rPr>
          <w:rFonts w:ascii="Times New Roman" w:hAnsi="Times New Roman"/>
          <w:color w:val="000000"/>
          <w:sz w:val="22"/>
        </w:rPr>
        <w:t>as the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BIOTE HOLDINGS, LLC</w:t>
      </w:r>
    </w:p>
    <w:p>
      <w:pPr>
        <w:pStyle w:val="TextBody"/>
        <w:bidi w:val="0"/>
        <w:jc w:val="center"/>
        <w:rPr>
          <w:rFonts w:ascii="Times New Roman" w:hAnsi="Times New Roman"/>
          <w:color w:val="000000"/>
          <w:sz w:val="22"/>
        </w:rPr>
      </w:pPr>
      <w:r>
        <w:rPr>
          <w:rFonts w:ascii="Times New Roman" w:hAnsi="Times New Roman"/>
          <w:color w:val="000000"/>
          <w:sz w:val="22"/>
        </w:rPr>
        <w:t>as Holdings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HOLDINGS AND THE SUBSIDIARIES OF HOLDINGS IDENTIFIED HEREIN,</w:t>
      </w:r>
    </w:p>
    <w:p>
      <w:pPr>
        <w:pStyle w:val="TextBody"/>
        <w:bidi w:val="0"/>
        <w:jc w:val="center"/>
        <w:rPr>
          <w:rFonts w:ascii="Times New Roman" w:hAnsi="Times New Roman"/>
          <w:color w:val="000000"/>
          <w:sz w:val="22"/>
        </w:rPr>
      </w:pPr>
      <w:r>
        <w:rPr>
          <w:rFonts w:ascii="Times New Roman" w:hAnsi="Times New Roman"/>
          <w:color w:val="000000"/>
          <w:sz w:val="22"/>
        </w:rPr>
        <w:t>as the Guarantors</w:t>
      </w:r>
    </w:p>
    <w:p>
      <w:pPr>
        <w:pStyle w:val="TextBody"/>
        <w:bidi w:val="0"/>
        <w:spacing w:before="360" w:after="283"/>
        <w:jc w:val="center"/>
        <w:rPr>
          <w:rFonts w:ascii="Times New Roman" w:hAnsi="Times New Roman"/>
          <w:color w:val="000000"/>
          <w:sz w:val="22"/>
        </w:rPr>
      </w:pPr>
      <w:r>
        <w:rPr>
          <w:rFonts w:ascii="Times New Roman" w:hAnsi="Times New Roman"/>
          <w:color w:val="000000"/>
          <w:sz w:val="22"/>
        </w:rPr>
        <w:t>THE LENDERS FROM TIME TO TIME PARTY HERETO</w:t>
      </w:r>
    </w:p>
    <w:p>
      <w:pPr>
        <w:pStyle w:val="TextBody"/>
        <w:bidi w:val="0"/>
        <w:spacing w:before="480" w:after="283"/>
        <w:jc w:val="center"/>
        <w:rPr>
          <w:rFonts w:ascii="Times New Roman" w:hAnsi="Times New Roman"/>
          <w:sz w:val="20"/>
        </w:rPr>
      </w:pPr>
      <w:r>
        <w:rPr>
          <w:rFonts w:ascii="Times New Roman" w:hAnsi="Times New Roman"/>
          <w:color w:val="000000"/>
          <w:sz w:val="22"/>
        </w:rPr>
        <w:t>and</w:t>
      </w:r>
      <w:r>
        <w:rPr>
          <w:rFonts w:ascii="Times New Roman" w:hAnsi="Times New Roman"/>
          <w:color w:val="000000"/>
          <w:sz w:val="20"/>
        </w:rPr>
        <w:t xml:space="preserve"> </w:t>
      </w:r>
    </w:p>
    <w:p>
      <w:pPr>
        <w:pStyle w:val="TextBody"/>
        <w:bidi w:val="0"/>
        <w:spacing w:before="480" w:after="283"/>
        <w:jc w:val="center"/>
        <w:rPr>
          <w:rFonts w:ascii="Times New Roman" w:hAnsi="Times New Roman"/>
          <w:color w:val="000000"/>
          <w:sz w:val="22"/>
        </w:rPr>
      </w:pPr>
      <w:r>
        <w:rPr>
          <w:rFonts w:ascii="Times New Roman" w:hAnsi="Times New Roman"/>
          <w:color w:val="000000"/>
          <w:sz w:val="22"/>
        </w:rPr>
        <w:t>TRUIST BANK,</w:t>
      </w:r>
    </w:p>
    <w:p>
      <w:pPr>
        <w:pStyle w:val="TextBody"/>
        <w:bidi w:val="0"/>
        <w:jc w:val="center"/>
        <w:rPr>
          <w:rFonts w:ascii="Times New Roman" w:hAnsi="Times New Roman"/>
          <w:color w:val="000000"/>
          <w:sz w:val="22"/>
        </w:rPr>
      </w:pPr>
      <w:r>
        <w:rPr>
          <w:rFonts w:ascii="Times New Roman" w:hAnsi="Times New Roman"/>
          <w:color w:val="000000"/>
          <w:sz w:val="22"/>
        </w:rPr>
        <w:t>as Administrative Agent, Swingline Lender and Issuing Bank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TEXAS CAPITAL BANK</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WESTERN ALLIANCE BANK,</w:t>
      </w:r>
    </w:p>
    <w:p>
      <w:pPr>
        <w:pStyle w:val="TextBody"/>
        <w:bidi w:val="0"/>
        <w:jc w:val="center"/>
        <w:rPr>
          <w:rFonts w:ascii="Times New Roman" w:hAnsi="Times New Roman"/>
          <w:color w:val="000000"/>
          <w:sz w:val="22"/>
        </w:rPr>
      </w:pPr>
      <w:r>
        <w:rPr>
          <w:rFonts w:ascii="Times New Roman" w:hAnsi="Times New Roman"/>
          <w:color w:val="000000"/>
          <w:sz w:val="22"/>
        </w:rPr>
        <w:t>as Co-Documentation Agents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TRUIST SECURITIES, INC.</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olor w:val="000000"/>
          <w:sz w:val="22"/>
        </w:rPr>
      </w:pPr>
      <w:r>
        <w:rPr>
          <w:rFonts w:ascii="Times New Roman" w:hAnsi="Times New Roman"/>
          <w:color w:val="000000"/>
          <w:sz w:val="22"/>
        </w:rPr>
        <w:t>BOFA SECURITIES, INC.,</w:t>
      </w:r>
    </w:p>
    <w:p>
      <w:pPr>
        <w:pStyle w:val="TextBody"/>
        <w:bidi w:val="0"/>
        <w:jc w:val="center"/>
        <w:rPr>
          <w:rFonts w:ascii="Times New Roman" w:hAnsi="Times New Roman"/>
          <w:color w:val="000000"/>
          <w:sz w:val="22"/>
        </w:rPr>
      </w:pPr>
      <w:r>
        <w:rPr>
          <w:rFonts w:ascii="Times New Roman" w:hAnsi="Times New Roman"/>
          <w:color w:val="000000"/>
          <w:sz w:val="22"/>
        </w:rPr>
        <w:t>as Joint Lead Arrangers and Joint Bookrunners</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TABLE OF CONTENTS</w:t>
      </w:r>
    </w:p>
    <w:p>
      <w:pPr>
        <w:pStyle w:val="TextBody"/>
        <w:bidi w:val="0"/>
        <w:jc w:val="left"/>
        <w:rPr/>
      </w:pPr>
      <w:r>
        <w:rPr/>
        <w:t> </w:t>
      </w:r>
    </w:p>
    <w:tbl>
      <w:tblPr>
        <w:tblW w:w="8716" w:type="dxa"/>
        <w:jc w:val="left"/>
        <w:tblInd w:w="0" w:type="dxa"/>
        <w:tblLayout w:type="fixed"/>
        <w:tblCellMar>
          <w:top w:w="28" w:type="dxa"/>
          <w:left w:w="28" w:type="dxa"/>
          <w:bottom w:w="28" w:type="dxa"/>
          <w:right w:w="28" w:type="dxa"/>
        </w:tblCellMar>
      </w:tblPr>
      <w:tblGrid>
        <w:gridCol w:w="180"/>
        <w:gridCol w:w="1430"/>
        <w:gridCol w:w="6475"/>
        <w:gridCol w:w="631"/>
      </w:tblGrid>
      <w:tr>
        <w:trPr/>
        <w:tc>
          <w:tcPr>
            <w:tcW w:w="18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47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808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 DEFINITIONS; CONSTRUCTION</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Definitions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1.2</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Classifications of Loans and Borrowings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1.3</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Accounting Terms and Determination</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1.4</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Terms Generally</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1.5</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 of Credit Amounts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1.6</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Times of Day</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1.7</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Divisions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1.8</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Rates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1.9</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Limited Condition Transactions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8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II AMOUNT AND TERMS OF THE COMMITMENTS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General Description of Facilities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Revolving Loans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2.3</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Procedure for Revolving Borrowings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2.4</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Swingline Commitment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2.5</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 Loan A Commitment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2.6</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Funding of Borrowings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2.7</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 Elections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2.8</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Optional Reduction and Termination of Commitments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2.9</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Repayment of Loans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2.10</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Evidence of Indebtedness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2.11</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Optional Prepayments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2.12</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Mandatory Prepayments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2.13</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 on Loans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2.14</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Fees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2.15</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Computation of Interest and Fees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2.16</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Inability to Determine SOFR</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2.17</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Illegality</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2.18</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Increased Costs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2.19</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Funding Indemnity</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2.20</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Taxes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2.21</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Payments Generally; Pro Rata Treatment; Sharing of Set-offs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2.22</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Letters of Credit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2.23</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Increase of Commitments; Additional Lenders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2.24</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Mitigation of Obligations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2.25</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Replacement of Lenders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2.26</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Defaulting Lenders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2.27</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Refinancing Debt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2.28</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Loan Modification Offers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8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III CONDITIONS PRECEDENT TO LOANS AND LETTERS OF CREDIT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3.1</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Conditions to Effectiveness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r>
      <w:tr>
        <w:trPr/>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3.2</w:t>
            </w:r>
          </w:p>
        </w:tc>
        <w:tc>
          <w:tcPr>
            <w:tcW w:w="6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Each Credit Event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89</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161"/>
        <w:gridCol w:w="1276"/>
        <w:gridCol w:w="6826"/>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IV REPRESENTATIONS AND WARRANTIES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Existence; Power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Organizational Power; Authorization; Enforceability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4.3</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Governmental Approvals; No Conflicts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4.4</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Statements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4.5</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Litigation and Environmental Matters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4.6</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with Laws and Agreements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4.7</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Default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4.8</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Investment Company Act, Etc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4.9</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4.10</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Margin Regulations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ERISA</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Ownership of Property; Intellectual Property; Insurance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4.13</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Disclosure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4.14</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Labor Relations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4.15</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4.16</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Solvency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4.17</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Business Locations; Taxpayer Identification Number; Deposit Accounts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4.18</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Material Agreements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4.19</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Sanctions and Anti-Corruption Laws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4.20</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Subordination of Subordinated Debt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4.21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Affected Financial Institutions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4.22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Perfection of Security Interests in the Collateral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4.23</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Outbound Investment Rules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 AFFIRMATIVE COVENANTS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Statements and 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Notices of Material Events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5.3</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Existence; Conduct of Business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5.4</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with Laws, Etc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5.5</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 of Obligations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5.6</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Books and Records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5.7</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Visitation, Inspection, Etc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5.8</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Maintenance of Properties; Insurance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5.9</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Use of Proceeds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5.10</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Additional Subsidiaries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5.11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Further Assurances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5.12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Programs; Data Privacy and Security Policies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 FINANCIAL COVENANTS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Consolidated Total Net Leverage Ratio</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6.2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Consolidated Fixed Charge Coverage Ratio</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VII NEGATIVE COVENANTS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Indebtedness and Disqualified Capital Stock</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7.2</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Negative Pledge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7.3</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Fundamental Changes; Conduct of Business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34" w:type="dxa"/>
        <w:jc w:val="left"/>
        <w:tblInd w:w="0" w:type="dxa"/>
        <w:tblLayout w:type="fixed"/>
        <w:tblCellMar>
          <w:top w:w="28" w:type="dxa"/>
          <w:left w:w="28" w:type="dxa"/>
          <w:bottom w:w="28" w:type="dxa"/>
          <w:right w:w="28" w:type="dxa"/>
        </w:tblCellMar>
      </w:tblPr>
      <w:tblGrid>
        <w:gridCol w:w="161"/>
        <w:gridCol w:w="1276"/>
        <w:gridCol w:w="5086"/>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7.4</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Investments, Loans, Etc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7.5</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Restricted Payments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7.6</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Sale of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7.7</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Transactions with Affiliates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7.8</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Restrictive Agreements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7.9</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Sale and Leaseback Transactions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7.10</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Hedging Transactions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7.11</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Legal Name, State of Formation and Form of Entity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7.12</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Amendment to Organization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7.13</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Restricted Debt Payments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7.14</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Accounting Changes; Change in Fiscal Year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7.15</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Government Regulation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7.16</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7.17</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Use of Proceeds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7.18</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Designation as Senior Debt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7.19</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Activities of Holdings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7.20</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Outbound Investment Rules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7.21</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Transfer of Material IP Rights to Non-Loan Parties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VIII EVENTS OF DEFAULT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8.1</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Events of Default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8.2</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Application of Funds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8.3</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Certain Cure Rights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IX THE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Appointment of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9.2</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Nature of Duties of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9.3</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Lack of Reliance on the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9.4</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Certain Rights of the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9.5</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Reliance by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9.6</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Administrative Agent in its Individual Capacity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9.7</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Successor Administrative Agent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9.8</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Withholding Tax</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9.9</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Administrative Agent May File Proofs of Claim</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9.10</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Authorization to Execute Other Loan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9.11</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Collateral and Guaranty Matters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9.12</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Other Duties, etc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9.13</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Right to Realize on Collateral and Enforce Guarantee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9.14</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Hedging Obligations and Bank Product Obligations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9.15</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Erroneous Payments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 THE GUARANTY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10.1</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Guaranty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10.2</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Obligations Unconditional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10.3</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Reinstatement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10.4</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Certain Additional Waivers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10.5</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Remedies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10.6</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Rights of Contribution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r>
    </w:tbl>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54" w:type="dxa"/>
        <w:jc w:val="left"/>
        <w:tblInd w:w="0" w:type="dxa"/>
        <w:tblLayout w:type="fixed"/>
        <w:tblCellMar>
          <w:top w:w="28" w:type="dxa"/>
          <w:left w:w="28" w:type="dxa"/>
          <w:bottom w:w="28" w:type="dxa"/>
          <w:right w:w="28" w:type="dxa"/>
        </w:tblCellMar>
      </w:tblPr>
      <w:tblGrid>
        <w:gridCol w:w="161"/>
        <w:gridCol w:w="1396"/>
        <w:gridCol w:w="7186"/>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10.7</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Guarantee of Payment; Continuing Guarantee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10.8</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Keepwell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4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XI MISCELLANEOUS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Notices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11.2</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Waiver; Amendments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11.3</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Expenses; Indemnification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11.4</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Successors and Assigns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11.5</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Governing Law; Jurisdiction; Consent to Service of Process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11.6</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WAIVER OF JURY TRIAL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11.7</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Right to Setoff</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11.8</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Counterparts; Integration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11.9</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Survival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11.10</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Severability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11.11</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Confidentiality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11.12</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 Rate Limitation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11.13</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Waiver of Effect of Corporate Seal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11.14</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PATRIOT Act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11.15</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Advisory or Fiduciary Responsibility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11.16</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Electronic Signatures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11.17</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Acknowledgement and Consent to Bail-In of Affected Financial Institutions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11.18</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Certain ERISA Matters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11.19</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Acknowledgement Regarding Any Supported QFCs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11.20</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Entire Agreement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11.21</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MIRE Events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11.22</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Amendment and Restatement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11.23</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Waiver of Breakage Costs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11.24</w:t>
            </w:r>
          </w:p>
        </w:tc>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Reallocation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w:t>
            </w:r>
          </w:p>
        </w:tc>
      </w:tr>
    </w:tbl>
    <w:p>
      <w:pPr>
        <w:pStyle w:val="TextBody"/>
        <w:bidi w:val="0"/>
        <w:jc w:val="center"/>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69" w:type="dxa"/>
        <w:jc w:val="left"/>
        <w:tblInd w:w="0" w:type="dxa"/>
        <w:tblLayout w:type="fixed"/>
        <w:tblCellMar>
          <w:top w:w="28" w:type="dxa"/>
          <w:left w:w="28" w:type="dxa"/>
          <w:bottom w:w="28" w:type="dxa"/>
          <w:right w:w="28" w:type="dxa"/>
        </w:tblCellMar>
      </w:tblPr>
      <w:tblGrid>
        <w:gridCol w:w="161"/>
        <w:gridCol w:w="1786"/>
        <w:gridCol w:w="181"/>
        <w:gridCol w:w="7141"/>
      </w:tblGrid>
      <w:tr>
        <w:trPr/>
        <w:tc>
          <w:tcPr>
            <w:tcW w:w="16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c>
          <w:tcPr>
            <w:tcW w:w="926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Schedules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Commitment Amounts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4.15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Subsidiaries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4.17-1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Locations of Real Property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4.17-2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Locations of Chief Executive Office, Taxpayer Identification Number, Etc.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4.17-3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Changes in Legal Name, State of Formation and Structure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4.17-4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Deposit and Securities Accounts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4.18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Material Agreements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Outstanding Indebtedness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Existing Liens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Existing Investments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Transactions with Affiliates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Exhibits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 of Notice of Revolving Borrowing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 of Notice of Swingline Borrowing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 of Notice of Conversion/Continuation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Notice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2.20 (1-4)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Forms of U.S. Tax Compliance Certificates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 of Compliance Certificate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5.10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 of Guarantor Joinder Agreement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Form of Assignment and Acceptance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AMENDED AND RESTATED CREDIT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AMENDED AND RESTATED CREDIT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and entered into as of May 8, 2026, by and among BIOTE MEDICAL, LLC, a Texas limited liability company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BIOTE HOLDINGS, LLC, a Delaware limited liability company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the other Guarantors (defined herein), the Lenders (defined herein), and TRUIST BANK, in its capacities as Administrative Agent, Issuing Bank and Swingline Lender.</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W I T N E S S E T H:</w:t>
      </w:r>
    </w:p>
    <w:p>
      <w:pPr>
        <w:pStyle w:val="TextBody"/>
        <w:bidi w:val="0"/>
        <w:spacing w:before="240" w:after="283"/>
        <w:jc w:val="both"/>
        <w:rPr>
          <w:rFonts w:ascii="Times New Roman" w:hAnsi="Times New Roman"/>
          <w:sz w:val="20"/>
        </w:rPr>
      </w:pPr>
      <w:r>
        <w:rPr>
          <w:rFonts w:ascii="Times New Roman" w:hAnsi="Times New Roman"/>
          <w:color w:val="000000"/>
          <w:sz w:val="22"/>
        </w:rPr>
        <w:t>WHEREAS, the Borrower, the guarantors party thereto, the lenders party thereto, and Truist Bank, as administrative agent, issuing bank, and swingline lender are parties to that certain Credit Agreement, dated as of May 26, 2022 (as amended, restated, amended and restated, supplemented, increased, extended, refinanced, renewed, replaced, and/or otherwise modified in writing prior to the Closing Date, the “</w:t>
      </w:r>
      <w:r>
        <w:rPr>
          <w:rFonts w:ascii="Times New Roman" w:hAnsi="Times New Roman"/>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parties hereto desire to amend and restate the Existing Credit Agreement on the terms and conditions set forth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premises and the mutual covenants herein contained, the parties hereto agree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rPr>
      </w:pPr>
      <w:bookmarkStart w:id="24" w:name="article_i___definitions__construction"/>
      <w:bookmarkEnd w:id="24"/>
      <w:r>
        <w:rPr>
          <w:rFonts w:ascii="Times New Roman" w:hAnsi="Times New Roman"/>
          <w:color w:val="000000"/>
          <w:sz w:val="22"/>
        </w:rPr>
        <w:t>ARTICLE I</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DEFINITIONS; CONSTRUCTION</w:t>
      </w:r>
    </w:p>
    <w:p>
      <w:pPr>
        <w:pStyle w:val="TextBody"/>
        <w:bidi w:val="0"/>
        <w:spacing w:before="240" w:after="283"/>
        <w:jc w:val="both"/>
        <w:rPr>
          <w:rFonts w:ascii="Times New Roman" w:hAnsi="Times New Roman"/>
          <w:sz w:val="20"/>
        </w:rPr>
      </w:pPr>
      <w:bookmarkStart w:id="25" w:name="section_1_1_definitions___in_addition_to"/>
      <w:bookmarkEnd w:id="25"/>
      <w:r>
        <w:rPr>
          <w:rFonts w:ascii="Times New Roman" w:hAnsi="Times New Roman"/>
          <w:color w:val="000000"/>
          <w:sz w:val="22"/>
        </w:rPr>
        <w:t xml:space="preserve">Section 1.1 </w:t>
      </w:r>
      <w:r>
        <w:rPr>
          <w:rFonts w:ascii="Times New Roman" w:hAnsi="Times New Roman"/>
          <w:color w:val="000000"/>
          <w:sz w:val="22"/>
          <w:u w:val="single"/>
        </w:rPr>
        <w:t>Definitions</w:t>
      </w:r>
      <w:r>
        <w:rPr>
          <w:rFonts w:ascii="Times New Roman" w:hAnsi="Times New Roman"/>
          <w:color w:val="000000"/>
          <w:sz w:val="22"/>
        </w:rPr>
        <w:t>. In addition to the other terms defined herein, the following terms used herein shall have the meanings herein specified (to be equally applicable to both the singular and plural forms of the terms defined):</w:t>
      </w:r>
    </w:p>
    <w:p>
      <w:pPr>
        <w:pStyle w:val="TextBody"/>
        <w:bidi w:val="0"/>
        <w:spacing w:before="240" w:after="283"/>
        <w:jc w:val="both"/>
        <w:rPr/>
      </w:pPr>
      <w:bookmarkStart w:id="26" w:name="x237_cahaba_valley__shall_mean_237_cahab"/>
      <w:bookmarkEnd w:id="26"/>
      <w:r>
        <w:rPr>
          <w:color w:val="000000"/>
        </w:rPr>
        <w:t>“</w:t>
      </w:r>
      <w:r>
        <w:rPr>
          <w:rFonts w:ascii="Times New Roman" w:hAnsi="Times New Roman"/>
          <w:color w:val="000000"/>
          <w:sz w:val="22"/>
          <w:u w:val="single"/>
        </w:rPr>
        <w:t>237 Cahaba Valley</w:t>
      </w:r>
      <w:r>
        <w:rPr>
          <w:rFonts w:ascii="Times New Roman" w:hAnsi="Times New Roman"/>
          <w:color w:val="000000"/>
          <w:sz w:val="20"/>
        </w:rPr>
        <w:t xml:space="preserve">” </w:t>
      </w:r>
      <w:r>
        <w:rPr>
          <w:rFonts w:ascii="Times New Roman" w:hAnsi="Times New Roman"/>
          <w:color w:val="000000"/>
          <w:sz w:val="22"/>
        </w:rPr>
        <w:t>shall mean 237 Cahaba Valley, LLC, an Alabama limited liability company.</w:t>
      </w:r>
    </w:p>
    <w:p>
      <w:pPr>
        <w:pStyle w:val="TextBody"/>
        <w:bidi w:val="0"/>
        <w:spacing w:before="240" w:after="283"/>
        <w:jc w:val="both"/>
        <w:rPr/>
      </w:pPr>
      <w:bookmarkStart w:id="27" w:name="xacquired_business__shall_mean_the_entit"/>
      <w:bookmarkEnd w:id="27"/>
      <w:r>
        <w:rPr>
          <w:color w:val="000000"/>
        </w:rPr>
        <w:t>“</w:t>
      </w:r>
      <w:r>
        <w:rPr>
          <w:rFonts w:ascii="Times New Roman" w:hAnsi="Times New Roman"/>
          <w:color w:val="000000"/>
          <w:sz w:val="22"/>
          <w:u w:val="single"/>
        </w:rPr>
        <w:t>Acquired Business</w:t>
      </w:r>
      <w:r>
        <w:rPr>
          <w:rFonts w:ascii="Times New Roman" w:hAnsi="Times New Roman"/>
          <w:color w:val="000000"/>
          <w:sz w:val="20"/>
        </w:rPr>
        <w:t xml:space="preserve">” </w:t>
      </w:r>
      <w:r>
        <w:rPr>
          <w:rFonts w:ascii="Times New Roman" w:hAnsi="Times New Roman"/>
          <w:color w:val="000000"/>
          <w:sz w:val="22"/>
        </w:rPr>
        <w:t>shall mean the entity or assets acquired by the Borrower or any of its Subsidiaries in an Acquisition on or after the date hereof.</w:t>
      </w:r>
    </w:p>
    <w:p>
      <w:pPr>
        <w:pStyle w:val="TextBody"/>
        <w:bidi w:val="0"/>
        <w:spacing w:before="240" w:after="283"/>
        <w:jc w:val="both"/>
        <w:rPr/>
      </w:pPr>
      <w:bookmarkStart w:id="28" w:name="xacquisition__shall_mean__a__any_investm"/>
      <w:bookmarkEnd w:id="28"/>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shall mean (a) any Investment by the Borrower or any of its Subsidiaries in any other Person pursuant to which such Person shall become a Subsidiary of the Borrower or shall be merged with the Borrower or any of its Subsidiaries or (b) any acquisition by the Borrower or any of its Subsidiaries of the assets of any Person (other than a Subsidiary) that constitute all or substantially all of the assets of such Person or a division or business unit of such Person.</w:t>
      </w:r>
    </w:p>
    <w:p>
      <w:pPr>
        <w:pStyle w:val="TextBody"/>
        <w:bidi w:val="0"/>
        <w:spacing w:before="240" w:after="283"/>
        <w:jc w:val="both"/>
        <w:rPr/>
      </w:pPr>
      <w:bookmarkStart w:id="29" w:name="xadditional_lender__shall_have_the_meani"/>
      <w:bookmarkEnd w:id="29"/>
      <w:r>
        <w:rPr>
          <w:color w:val="000000"/>
        </w:rPr>
        <w:t>“</w:t>
      </w:r>
      <w:r>
        <w:rPr>
          <w:rFonts w:ascii="Times New Roman" w:hAnsi="Times New Roman"/>
          <w:color w:val="000000"/>
          <w:sz w:val="22"/>
          <w:u w:val="single"/>
        </w:rPr>
        <w:t>Additional Lender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both"/>
        <w:rPr/>
      </w:pPr>
      <w:bookmarkStart w:id="30" w:name="xadditional_refinancing_amount__shall_me"/>
      <w:bookmarkEnd w:id="30"/>
      <w:r>
        <w:rPr>
          <w:color w:val="000000"/>
        </w:rPr>
        <w:t>“</w:t>
      </w:r>
      <w:r>
        <w:rPr>
          <w:rFonts w:ascii="Times New Roman" w:hAnsi="Times New Roman"/>
          <w:color w:val="000000"/>
          <w:sz w:val="22"/>
          <w:u w:val="single"/>
        </w:rPr>
        <w:t>Additional Refinancing Amount</w:t>
      </w:r>
      <w:r>
        <w:rPr>
          <w:rFonts w:ascii="Times New Roman" w:hAnsi="Times New Roman"/>
          <w:color w:val="000000"/>
          <w:sz w:val="20"/>
        </w:rPr>
        <w:t xml:space="preserve">” </w:t>
      </w:r>
      <w:r>
        <w:rPr>
          <w:rFonts w:ascii="Times New Roman" w:hAnsi="Times New Roman"/>
          <w:color w:val="000000"/>
          <w:sz w:val="22"/>
        </w:rPr>
        <w:t>shall mean any premium (including tender premium), original issue discount, accrued interest (pay-in-kind or otherwise), and customary fees and expenses incurred in connection with the exchange, extension, renewal, replacement or refinancing of Indebtedness.</w:t>
      </w:r>
    </w:p>
    <w:p>
      <w:pPr>
        <w:pStyle w:val="TextBody"/>
        <w:bidi w:val="0"/>
        <w:spacing w:before="240" w:after="283"/>
        <w:jc w:val="both"/>
        <w:rPr/>
      </w:pPr>
      <w:bookmarkStart w:id="31" w:name="xadditional_rights__shall_have_the_meani"/>
      <w:bookmarkEnd w:id="31"/>
      <w:r>
        <w:rPr>
          <w:color w:val="000000"/>
        </w:rPr>
        <w:t>“</w:t>
      </w:r>
      <w:r>
        <w:rPr>
          <w:rFonts w:ascii="Times New Roman" w:hAnsi="Times New Roman"/>
          <w:color w:val="000000"/>
          <w:sz w:val="22"/>
          <w:u w:val="single"/>
        </w:rPr>
        <w:t>Additional Rights</w:t>
      </w:r>
      <w:r>
        <w:rPr>
          <w:rFonts w:ascii="Times New Roman" w:hAnsi="Times New Roman"/>
          <w:color w:val="000000"/>
          <w:sz w:val="20"/>
        </w:rPr>
        <w:t xml:space="preserve">” </w:t>
      </w:r>
      <w:r>
        <w:rPr>
          <w:rFonts w:ascii="Times New Roman" w:hAnsi="Times New Roman"/>
          <w:color w:val="000000"/>
          <w:sz w:val="22"/>
        </w:rPr>
        <w:t>shall have the meaning set forth in the definition of “Credit Agreement Refinancing Indebtedness.”</w:t>
      </w:r>
    </w:p>
    <w:p>
      <w:pPr>
        <w:pStyle w:val="TextBody"/>
        <w:bidi w:val="0"/>
        <w:spacing w:before="240" w:after="283"/>
        <w:jc w:val="both"/>
        <w:rPr/>
      </w:pPr>
      <w:bookmarkStart w:id="32" w:name="xadministrative_agent__shall_mean_truist"/>
      <w:bookmarkEnd w:id="32"/>
      <w:r>
        <w:rPr>
          <w:color w:val="000000"/>
        </w:rPr>
        <w:t>“</w:t>
      </w:r>
      <w:r>
        <w:rPr>
          <w:rFonts w:ascii="Times New Roman" w:hAnsi="Times New Roman"/>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shall mean Truist Bank in its capacity as administrative agent under any of the Loan Documents, or any successor administrative agent.</w:t>
      </w:r>
    </w:p>
    <w:p>
      <w:pPr>
        <w:pStyle w:val="TextBody"/>
        <w:bidi w:val="0"/>
        <w:spacing w:before="240" w:after="283"/>
        <w:jc w:val="both"/>
        <w:rPr/>
      </w:pPr>
      <w:bookmarkStart w:id="33" w:name="xadministrative_questionnaire__shall_mea"/>
      <w:bookmarkEnd w:id="33"/>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shall mean, with respect to each Lender, an administrative questionnaire in the form provided by or otherwise acceptable to the Administrative Agent and submitted to the Administrative Agent duly completed by such Lender.</w:t>
      </w:r>
    </w:p>
    <w:p>
      <w:pPr>
        <w:pStyle w:val="TextBody"/>
        <w:bidi w:val="0"/>
        <w:spacing w:before="240" w:after="283"/>
        <w:jc w:val="both"/>
        <w:rPr/>
      </w:pPr>
      <w:bookmarkStart w:id="34" w:name="xadvanced_formulations_pharmancy__shall_"/>
      <w:bookmarkEnd w:id="34"/>
      <w:r>
        <w:rPr>
          <w:color w:val="000000"/>
        </w:rPr>
        <w:t>“</w:t>
      </w:r>
      <w:r>
        <w:rPr>
          <w:rFonts w:ascii="Times New Roman" w:hAnsi="Times New Roman"/>
          <w:color w:val="000000"/>
          <w:sz w:val="22"/>
          <w:u w:val="single"/>
        </w:rPr>
        <w:t>Advanced Formulations Pharmancy</w:t>
      </w:r>
      <w:r>
        <w:rPr>
          <w:rFonts w:ascii="Times New Roman" w:hAnsi="Times New Roman"/>
          <w:color w:val="000000"/>
          <w:sz w:val="20"/>
        </w:rPr>
        <w:t xml:space="preserve">” </w:t>
      </w:r>
      <w:r>
        <w:rPr>
          <w:rFonts w:ascii="Times New Roman" w:hAnsi="Times New Roman"/>
          <w:color w:val="000000"/>
          <w:sz w:val="22"/>
        </w:rPr>
        <w:t>shall mean Advanced Formulations Pharmacy, LLC, a Delaware limited liability company.</w:t>
      </w:r>
    </w:p>
    <w:p>
      <w:pPr>
        <w:pStyle w:val="TextBody"/>
        <w:bidi w:val="0"/>
        <w:spacing w:before="240" w:after="283"/>
        <w:jc w:val="both"/>
        <w:rPr/>
      </w:pPr>
      <w:bookmarkStart w:id="35" w:name="xaffected_financial_institution__shall_m"/>
      <w:bookmarkEnd w:id="35"/>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shall mean (a) any EEA Financial Institution or (b) any UK Financial Institution.</w:t>
      </w:r>
    </w:p>
    <w:p>
      <w:pPr>
        <w:pStyle w:val="TextBody"/>
        <w:bidi w:val="0"/>
        <w:spacing w:before="240" w:after="283"/>
        <w:jc w:val="both"/>
        <w:rPr/>
      </w:pPr>
      <w:bookmarkStart w:id="36" w:name="xaffiliate__shall_mean__as_to_any_person"/>
      <w:bookmarkEnd w:id="36"/>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shall mean, as to any Person, any other Person that directly, or indirectly through one or more intermediaries, Controls, is Controlled by, or is under common Control with, such Person. For the purposes of this definition, “Control” shall mean the power, directly or indirectly, either to (i) vote 15% or more of the securities having ordinary voting power for the election of directors (or persons performing similar functions) of a Person or (ii) direct or cause the direction of the management and policies of a Person, whether through the ability to exercise voting power, by control or otherwise. The terms “Controlling”, “Controlled by”, and “under common Control with” have the meanings correlative thereto.</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37" w:name="xaggregate_revolving_commitments__shall_"/>
      <w:bookmarkEnd w:id="37"/>
      <w:r>
        <w:rPr>
          <w:color w:val="000000"/>
        </w:rPr>
        <w:t>“</w:t>
      </w:r>
      <w:r>
        <w:rPr>
          <w:rFonts w:ascii="Times New Roman" w:hAnsi="Times New Roman"/>
          <w:color w:val="000000"/>
          <w:sz w:val="22"/>
          <w:u w:val="single"/>
        </w:rPr>
        <w:t>Aggregate Revolving Commitments</w:t>
      </w:r>
      <w:r>
        <w:rPr>
          <w:rFonts w:ascii="Times New Roman" w:hAnsi="Times New Roman"/>
          <w:color w:val="000000"/>
          <w:sz w:val="20"/>
        </w:rPr>
        <w:t xml:space="preserve">” </w:t>
      </w:r>
      <w:r>
        <w:rPr>
          <w:rFonts w:ascii="Times New Roman" w:hAnsi="Times New Roman"/>
          <w:color w:val="000000"/>
          <w:sz w:val="22"/>
        </w:rPr>
        <w:t>shall mean the Revolving Commitments of all the Lenders at any time outstanding. On the Closing Date, the aggregate amount of the Aggregate Revolving Commitments is $50,000,000.</w:t>
      </w:r>
    </w:p>
    <w:p>
      <w:pPr>
        <w:pStyle w:val="TextBody"/>
        <w:bidi w:val="0"/>
        <w:spacing w:before="240" w:after="283"/>
        <w:jc w:val="both"/>
        <w:rPr/>
      </w:pPr>
      <w:bookmarkStart w:id="38" w:name="xagreement__shall_have_the_meaning_set_f"/>
      <w:bookmarkEnd w:id="38"/>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shall have the meaning set forth in the introductory paragraph hereto.</w:t>
      </w:r>
    </w:p>
    <w:p>
      <w:pPr>
        <w:pStyle w:val="TextBody"/>
        <w:bidi w:val="0"/>
        <w:spacing w:before="240" w:after="283"/>
        <w:jc w:val="both"/>
        <w:rPr/>
      </w:pPr>
      <w:bookmarkStart w:id="39" w:name="xanti_corruption_laws__shall_mean_all_la"/>
      <w:bookmarkEnd w:id="39"/>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shall mean all laws, rules, and regulations of any jurisdiction applicable to Holdings, the Borrower or their respective Subsidiaries from time to time concerning or relating to bribery or corruption.</w:t>
      </w:r>
    </w:p>
    <w:p>
      <w:pPr>
        <w:pStyle w:val="TextBody"/>
        <w:bidi w:val="0"/>
        <w:spacing w:before="240" w:after="283"/>
        <w:jc w:val="both"/>
        <w:rPr/>
      </w:pPr>
      <w:bookmarkStart w:id="40" w:name="xapplicable_lending_office__shall_mean__"/>
      <w:bookmarkEnd w:id="40"/>
      <w:r>
        <w:rPr>
          <w:color w:val="000000"/>
        </w:rPr>
        <w:t>“</w:t>
      </w:r>
      <w:r>
        <w:rPr>
          <w:rFonts w:ascii="Times New Roman" w:hAnsi="Times New Roman"/>
          <w:color w:val="000000"/>
          <w:sz w:val="22"/>
          <w:u w:val="single"/>
        </w:rPr>
        <w:t>Applicable Lending Office</w:t>
      </w:r>
      <w:r>
        <w:rPr>
          <w:rFonts w:ascii="Times New Roman" w:hAnsi="Times New Roman"/>
          <w:color w:val="000000"/>
          <w:sz w:val="20"/>
        </w:rPr>
        <w:t xml:space="preserve">” </w:t>
      </w:r>
      <w:r>
        <w:rPr>
          <w:rFonts w:ascii="Times New Roman" w:hAnsi="Times New Roman"/>
          <w:color w:val="000000"/>
          <w:sz w:val="22"/>
        </w:rPr>
        <w:t>shall mean, for each Lender and for each Type of Loan, the “Lending Office” of such Lender (or an Affiliate of such Lender) designated for such Type of Loan in the Administrative Questionnaire submitted by such Lender or such other office of such Lender (or an Affiliate of such Lender) as such Lender may from time to time specify to the Administrative Agent and the Borrower as the office by which its Loans of such Type are to be made and maintained.</w:t>
      </w:r>
    </w:p>
    <w:p>
      <w:pPr>
        <w:pStyle w:val="TextBody"/>
        <w:bidi w:val="0"/>
        <w:spacing w:before="240" w:after="283"/>
        <w:jc w:val="both"/>
        <w:rPr/>
      </w:pPr>
      <w:bookmarkStart w:id="41" w:name="xapplicable_margin__shall_mean__as_of_an"/>
      <w:bookmarkEnd w:id="41"/>
      <w:r>
        <w:rPr>
          <w:color w:val="000000"/>
        </w:rPr>
        <w:t>“</w:t>
      </w:r>
      <w:r>
        <w:rPr>
          <w:rFonts w:ascii="Times New Roman" w:hAnsi="Times New Roman"/>
          <w:color w:val="000000"/>
          <w:sz w:val="22"/>
          <w:u w:val="single"/>
        </w:rPr>
        <w:t>Applicable Margin</w:t>
      </w:r>
      <w:r>
        <w:rPr>
          <w:rFonts w:ascii="Times New Roman" w:hAnsi="Times New Roman"/>
          <w:color w:val="000000"/>
          <w:sz w:val="20"/>
        </w:rPr>
        <w:t xml:space="preserve">” </w:t>
      </w:r>
      <w:r>
        <w:rPr>
          <w:rFonts w:ascii="Times New Roman" w:hAnsi="Times New Roman"/>
          <w:color w:val="000000"/>
          <w:sz w:val="22"/>
        </w:rPr>
        <w:t xml:space="preserve">shall mean, as of any date, a percentage per annum determined by reference to the applicable Consolidated Total Net Leverage Ratio in effect on such date as set forth in the table below; </w:t>
      </w:r>
      <w:r>
        <w:rPr>
          <w:rFonts w:ascii="Times New Roman" w:hAnsi="Times New Roman"/>
          <w:color w:val="000000"/>
          <w:sz w:val="22"/>
          <w:u w:val="single"/>
        </w:rPr>
        <w:t>provided</w:t>
      </w:r>
      <w:r>
        <w:rPr>
          <w:rFonts w:ascii="Times New Roman" w:hAnsi="Times New Roman"/>
          <w:color w:val="000000"/>
          <w:sz w:val="22"/>
        </w:rPr>
        <w:t xml:space="preserve">, that a change in the Applicable Margin resulting from a change in the Consolidated Total Net Leverage Ratio shall be effective on the second Business Day after which the Borrower delivers each of the financial statements required by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5.1(b)</w:t>
      </w:r>
      <w:r>
        <w:rPr>
          <w:rFonts w:ascii="Times New Roman" w:hAnsi="Times New Roman"/>
          <w:color w:val="000000"/>
          <w:sz w:val="20"/>
        </w:rPr>
        <w:t xml:space="preserve"> </w:t>
      </w:r>
      <w:r>
        <w:rPr>
          <w:rFonts w:ascii="Times New Roman" w:hAnsi="Times New Roman"/>
          <w:color w:val="000000"/>
          <w:sz w:val="22"/>
        </w:rPr>
        <w:t xml:space="preserve">and the Compliance Certificate required by </w:t>
      </w:r>
      <w:r>
        <w:rPr>
          <w:rFonts w:ascii="Times New Roman" w:hAnsi="Times New Roman"/>
          <w:color w:val="000000"/>
          <w:sz w:val="22"/>
          <w:u w:val="single"/>
        </w:rPr>
        <w:t>Section 5.1(c)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at any time the Borrower shall have failed to deliver such financial statements and such Compliance Certificate when so required, the Applicable Margin shall be at Level 2 as set forth in the table below until the second Business Day after which such financial statements and Compliance Certificate are delivered, at which time the Applicable Margin shall be determined as provided above. Notwithstanding the foregoing, the Applicable Margin from the Closing Date until the second Business Day after which the financial statements and Compliance Certificate for the Fiscal Quarter ending June 30, 2026 are required to be delivered shall be at Level 1 as set forth in the table below.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pricing grid set forth in the table below (the “</w:t>
      </w:r>
      <w:r>
        <w:rPr>
          <w:rFonts w:ascii="Times New Roman" w:hAnsi="Times New Roman"/>
          <w:color w:val="000000"/>
          <w:sz w:val="22"/>
          <w:u w:val="single"/>
        </w:rPr>
        <w:t>Accurate</w:t>
      </w:r>
      <w:r>
        <w:rPr>
          <w:rFonts w:ascii="Times New Roman" w:hAnsi="Times New Roman"/>
          <w:color w:val="000000"/>
          <w:sz w:val="20"/>
        </w:rPr>
        <w:t xml:space="preserve"> </w:t>
      </w:r>
      <w:r>
        <w:rPr>
          <w:rFonts w:ascii="Times New Roman" w:hAnsi="Times New Roman"/>
          <w:color w:val="000000"/>
          <w:sz w:val="22"/>
          <w:u w:val="single"/>
        </w:rPr>
        <w:t>Applicable Margin</w:t>
      </w:r>
      <w:r>
        <w:rPr>
          <w:rFonts w:ascii="Times New Roman" w:hAnsi="Times New Roman"/>
          <w:color w:val="000000"/>
          <w:sz w:val="20"/>
        </w:rPr>
        <w:t>”</w:t>
      </w:r>
      <w:r>
        <w:rPr>
          <w:rFonts w:ascii="Times New Roman" w:hAnsi="Times New Roman"/>
          <w:color w:val="000000"/>
          <w:sz w:val="22"/>
        </w:rPr>
        <w:t xml:space="preserve">) for any period that such financial statement or Compliance Certificate covered, then (i) the Borrower shall immediately deliver to the Administrative Agent a correct financial statement or Compliance Certificate, as the case may be, for such period, (ii) the Applicable Margin shall be adjusted such that after giving effect to the corrected financial statements or Compliance Certificate, as the case may be, the Applicable Margin shall be reset to the Accurate Applicable Margin based upon the pricing grid set forth in the table below for such period and (iii) the Borrower shall promptly (and in any event within three (3) Business Days) pay to the Administrative Agent, for the account of the Lenders, the accrued additional interest owing as a result of such Accurate Applicable Margin for such period (it being understood that no Event of Default pursuant to </w:t>
      </w:r>
      <w:r>
        <w:rPr>
          <w:rFonts w:ascii="Times New Roman" w:hAnsi="Times New Roman"/>
          <w:color w:val="000000"/>
          <w:sz w:val="22"/>
          <w:u w:val="single"/>
        </w:rPr>
        <w:t>Sections 8.1(a)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8.1(b)</w:t>
      </w:r>
      <w:r>
        <w:rPr>
          <w:rFonts w:ascii="Times New Roman" w:hAnsi="Times New Roman"/>
          <w:color w:val="000000"/>
          <w:sz w:val="20"/>
        </w:rPr>
        <w:t xml:space="preserve"> </w:t>
      </w:r>
      <w:r>
        <w:rPr>
          <w:rFonts w:ascii="Times New Roman" w:hAnsi="Times New Roman"/>
          <w:color w:val="000000"/>
          <w:sz w:val="22"/>
        </w:rPr>
        <w:t xml:space="preserve">shall be deemed to have occurred as a result of any such inaccuracy if such payment is so made). The provisions of this definition shall not limit the rights of the Administrative Agent and the Lenders with respect to </w:t>
      </w:r>
      <w:r>
        <w:rPr>
          <w:rFonts w:ascii="Times New Roman" w:hAnsi="Times New Roman"/>
          <w:color w:val="000000"/>
          <w:sz w:val="22"/>
          <w:u w:val="single"/>
        </w:rPr>
        <w:t>Section 2.13(d)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9"/>
        <w:gridCol w:w="2744"/>
        <w:gridCol w:w="1941"/>
        <w:gridCol w:w="1841"/>
        <w:gridCol w:w="1550"/>
      </w:tblGrid>
      <w:tr>
        <w:trPr/>
        <w:tc>
          <w:tcPr>
            <w:tcW w:w="212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2129" w:type="dxa"/>
            <w:tcBorders/>
            <w:tcMar>
              <w:top w:w="0" w:type="dxa"/>
              <w:left w:w="0" w:type="dxa"/>
              <w:bottom w:w="0" w:type="dxa"/>
              <w:right w:w="0" w:type="dxa"/>
            </w:tcMar>
            <w:vAlign w:val="center"/>
          </w:tcPr>
          <w:p>
            <w:pPr>
              <w:pStyle w:val="TableContents"/>
              <w:bidi w:val="0"/>
              <w:spacing w:before="244" w:after="283"/>
              <w:jc w:val="center"/>
              <w:rPr/>
            </w:pPr>
            <w:r>
              <w:rPr/>
              <w:t> </w:t>
            </w:r>
          </w:p>
          <w:p>
            <w:pPr>
              <w:pStyle w:val="TableContents"/>
              <w:bidi w:val="0"/>
              <w:spacing w:before="0" w:after="283"/>
              <w:ind w:left="0" w:right="0" w:firstLine="1483"/>
              <w:jc w:val="center"/>
              <w:rPr>
                <w:rFonts w:ascii="Times New Roman" w:hAnsi="Times New Roman"/>
                <w:color w:val="000000"/>
                <w:sz w:val="22"/>
              </w:rPr>
            </w:pPr>
            <w:r>
              <w:rPr>
                <w:rFonts w:ascii="Times New Roman" w:hAnsi="Times New Roman"/>
                <w:color w:val="000000"/>
                <w:sz w:val="22"/>
              </w:rPr>
              <w:t>Level</w:t>
            </w:r>
          </w:p>
        </w:tc>
        <w:tc>
          <w:tcPr>
            <w:tcW w:w="2744" w:type="dxa"/>
            <w:tcBorders/>
            <w:tcMar>
              <w:top w:w="0" w:type="dxa"/>
              <w:left w:w="0" w:type="dxa"/>
              <w:bottom w:w="0" w:type="dxa"/>
              <w:right w:w="0" w:type="dxa"/>
            </w:tcMar>
            <w:vAlign w:val="center"/>
          </w:tcPr>
          <w:p>
            <w:pPr>
              <w:pStyle w:val="TableContents"/>
              <w:bidi w:val="0"/>
              <w:spacing w:before="230" w:after="283"/>
              <w:ind w:left="0" w:right="0" w:firstLine="283"/>
              <w:jc w:val="left"/>
              <w:rPr>
                <w:rFonts w:ascii="Times New Roman" w:hAnsi="Times New Roman"/>
                <w:color w:val="000000"/>
                <w:sz w:val="22"/>
              </w:rPr>
            </w:pPr>
            <w:r>
              <w:rPr>
                <w:rFonts w:ascii="Times New Roman" w:hAnsi="Times New Roman"/>
                <w:color w:val="000000"/>
                <w:sz w:val="22"/>
              </w:rPr>
              <w:t>Consolidated Total Net Leverage Ratio</w:t>
            </w:r>
          </w:p>
        </w:tc>
        <w:tc>
          <w:tcPr>
            <w:tcW w:w="1941" w:type="dxa"/>
            <w:tcBorders/>
            <w:tcMar>
              <w:top w:w="0" w:type="dxa"/>
              <w:left w:w="0" w:type="dxa"/>
              <w:bottom w:w="0" w:type="dxa"/>
              <w:right w:w="0" w:type="dxa"/>
            </w:tcMar>
            <w:vAlign w:val="center"/>
          </w:tcPr>
          <w:p>
            <w:pPr>
              <w:pStyle w:val="TableContents"/>
              <w:bidi w:val="0"/>
              <w:ind w:left="0" w:right="0" w:firstLine="283"/>
              <w:jc w:val="left"/>
              <w:rPr>
                <w:rFonts w:ascii="Times New Roman" w:hAnsi="Times New Roman"/>
                <w:color w:val="000000"/>
                <w:sz w:val="22"/>
              </w:rPr>
            </w:pPr>
            <w:r>
              <w:rPr>
                <w:rFonts w:ascii="Times New Roman" w:hAnsi="Times New Roman"/>
                <w:color w:val="000000"/>
                <w:sz w:val="22"/>
              </w:rPr>
              <w:t>SOFR Loans</w:t>
            </w:r>
          </w:p>
          <w:p>
            <w:pPr>
              <w:pStyle w:val="TableContents"/>
              <w:bidi w:val="0"/>
              <w:spacing w:before="0" w:after="283"/>
              <w:ind w:left="0" w:right="0" w:firstLine="497"/>
              <w:jc w:val="left"/>
              <w:rPr>
                <w:rFonts w:ascii="Times New Roman" w:hAnsi="Times New Roman"/>
                <w:color w:val="000000"/>
                <w:sz w:val="22"/>
              </w:rPr>
            </w:pPr>
            <w:r>
              <w:rPr>
                <w:rFonts w:ascii="Times New Roman" w:hAnsi="Times New Roman"/>
                <w:color w:val="000000"/>
                <w:sz w:val="22"/>
              </w:rPr>
              <w:t>and Letter of Credit Fee</w:t>
            </w:r>
          </w:p>
        </w:tc>
        <w:tc>
          <w:tcPr>
            <w:tcW w:w="1841" w:type="dxa"/>
            <w:tcBorders/>
            <w:tcMar>
              <w:top w:w="0" w:type="dxa"/>
              <w:left w:w="0" w:type="dxa"/>
              <w:bottom w:w="0" w:type="dxa"/>
              <w:right w:w="0" w:type="dxa"/>
            </w:tcMar>
            <w:vAlign w:val="center"/>
          </w:tcPr>
          <w:p>
            <w:pPr>
              <w:pStyle w:val="TableContents"/>
              <w:bidi w:val="0"/>
              <w:spacing w:before="230" w:after="283"/>
              <w:ind w:left="0" w:right="0" w:firstLine="704"/>
              <w:jc w:val="left"/>
              <w:rPr>
                <w:rFonts w:ascii="Times New Roman" w:hAnsi="Times New Roman"/>
                <w:color w:val="000000"/>
                <w:sz w:val="22"/>
              </w:rPr>
            </w:pPr>
            <w:r>
              <w:rPr>
                <w:rFonts w:ascii="Times New Roman" w:hAnsi="Times New Roman"/>
                <w:color w:val="000000"/>
                <w:sz w:val="22"/>
              </w:rPr>
              <w:t>Base Rate Loans</w:t>
            </w:r>
          </w:p>
        </w:tc>
        <w:tc>
          <w:tcPr>
            <w:tcW w:w="1550" w:type="dxa"/>
            <w:tcBorders/>
            <w:tcMar>
              <w:top w:w="0" w:type="dxa"/>
              <w:left w:w="0" w:type="dxa"/>
              <w:bottom w:w="0" w:type="dxa"/>
              <w:right w:w="0" w:type="dxa"/>
            </w:tcMar>
            <w:vAlign w:val="center"/>
          </w:tcPr>
          <w:p>
            <w:pPr>
              <w:pStyle w:val="TableContents"/>
              <w:bidi w:val="0"/>
              <w:spacing w:before="230" w:after="283"/>
              <w:ind w:left="0" w:right="0" w:firstLine="1"/>
              <w:jc w:val="left"/>
              <w:rPr>
                <w:rFonts w:ascii="Times New Roman" w:hAnsi="Times New Roman"/>
                <w:color w:val="000000"/>
                <w:sz w:val="22"/>
              </w:rPr>
            </w:pPr>
            <w:r>
              <w:rPr>
                <w:rFonts w:ascii="Times New Roman" w:hAnsi="Times New Roman"/>
                <w:color w:val="000000"/>
                <w:sz w:val="22"/>
              </w:rPr>
              <w:t>Commitment Fee</w:t>
            </w:r>
          </w:p>
        </w:tc>
      </w:tr>
      <w:tr>
        <w:trPr/>
        <w:tc>
          <w:tcPr>
            <w:tcW w:w="2129" w:type="dxa"/>
            <w:tcBorders/>
            <w:tcMar>
              <w:top w:w="0" w:type="dxa"/>
              <w:left w:w="0" w:type="dxa"/>
              <w:bottom w:w="0" w:type="dxa"/>
              <w:right w:w="0" w:type="dxa"/>
            </w:tcMar>
            <w:vAlign w:val="center"/>
          </w:tcPr>
          <w:p>
            <w:pPr>
              <w:pStyle w:val="TableContents"/>
              <w:bidi w:val="0"/>
              <w:spacing w:before="0" w:after="283"/>
              <w:ind w:left="0" w:right="0" w:firstLine="1"/>
              <w:jc w:val="center"/>
              <w:rPr>
                <w:rFonts w:ascii="Times New Roman" w:hAnsi="Times New Roman"/>
                <w:color w:val="000000"/>
                <w:sz w:val="22"/>
              </w:rPr>
            </w:pPr>
            <w:r>
              <w:rPr>
                <w:rFonts w:ascii="Times New Roman" w:hAnsi="Times New Roman"/>
                <w:color w:val="000000"/>
                <w:sz w:val="22"/>
              </w:rPr>
              <w:t>1</w:t>
            </w:r>
          </w:p>
        </w:tc>
        <w:tc>
          <w:tcPr>
            <w:tcW w:w="2744" w:type="dxa"/>
            <w:tcBorders/>
            <w:tcMar>
              <w:top w:w="0" w:type="dxa"/>
              <w:left w:w="0" w:type="dxa"/>
              <w:bottom w:w="0" w:type="dxa"/>
              <w:right w:w="0" w:type="dxa"/>
            </w:tcMar>
            <w:vAlign w:val="center"/>
          </w:tcPr>
          <w:p>
            <w:pPr>
              <w:pStyle w:val="TableContents"/>
              <w:bidi w:val="0"/>
              <w:spacing w:before="0" w:after="283"/>
              <w:ind w:left="0" w:right="0" w:firstLine="1"/>
              <w:jc w:val="center"/>
              <w:rPr>
                <w:rFonts w:ascii="Times New Roman" w:hAnsi="Times New Roman"/>
                <w:color w:val="000000"/>
                <w:sz w:val="22"/>
              </w:rPr>
            </w:pPr>
            <w:r>
              <w:rPr>
                <w:rFonts w:ascii="Times New Roman" w:hAnsi="Times New Roman"/>
                <w:color w:val="000000"/>
                <w:sz w:val="22"/>
              </w:rPr>
              <w:t>&lt; 2.25 to 1.00</w:t>
            </w:r>
          </w:p>
        </w:tc>
        <w:tc>
          <w:tcPr>
            <w:tcW w:w="1941" w:type="dxa"/>
            <w:tcBorders/>
            <w:tcMar>
              <w:top w:w="0" w:type="dxa"/>
              <w:left w:w="0" w:type="dxa"/>
              <w:bottom w:w="0" w:type="dxa"/>
              <w:right w:w="0" w:type="dxa"/>
            </w:tcMar>
            <w:vAlign w:val="center"/>
          </w:tcPr>
          <w:p>
            <w:pPr>
              <w:pStyle w:val="TableContents"/>
              <w:bidi w:val="0"/>
              <w:spacing w:before="0" w:after="283"/>
              <w:ind w:left="0" w:right="0" w:firstLine="43"/>
              <w:jc w:val="center"/>
              <w:rPr>
                <w:rFonts w:ascii="Times New Roman" w:hAnsi="Times New Roman"/>
                <w:color w:val="000000"/>
                <w:sz w:val="22"/>
              </w:rPr>
            </w:pPr>
            <w:r>
              <w:rPr>
                <w:rFonts w:ascii="Times New Roman" w:hAnsi="Times New Roman"/>
                <w:color w:val="000000"/>
                <w:sz w:val="22"/>
              </w:rPr>
              <w:t>2.50%</w:t>
            </w:r>
          </w:p>
        </w:tc>
        <w:tc>
          <w:tcPr>
            <w:tcW w:w="1841" w:type="dxa"/>
            <w:tcBorders/>
            <w:tcMar>
              <w:top w:w="0" w:type="dxa"/>
              <w:left w:w="0" w:type="dxa"/>
              <w:bottom w:w="0" w:type="dxa"/>
              <w:right w:w="0" w:type="dxa"/>
            </w:tcMar>
            <w:vAlign w:val="center"/>
          </w:tcPr>
          <w:p>
            <w:pPr>
              <w:pStyle w:val="TableContents"/>
              <w:bidi w:val="0"/>
              <w:spacing w:before="0" w:after="283"/>
              <w:ind w:left="0" w:right="0" w:firstLine="43"/>
              <w:jc w:val="center"/>
              <w:rPr>
                <w:rFonts w:ascii="Times New Roman" w:hAnsi="Times New Roman"/>
                <w:color w:val="000000"/>
                <w:sz w:val="22"/>
              </w:rPr>
            </w:pPr>
            <w:r>
              <w:rPr>
                <w:rFonts w:ascii="Times New Roman" w:hAnsi="Times New Roman"/>
                <w:color w:val="000000"/>
                <w:sz w:val="22"/>
              </w:rPr>
              <w:t>1.50%</w:t>
            </w:r>
          </w:p>
        </w:tc>
        <w:tc>
          <w:tcPr>
            <w:tcW w:w="1550" w:type="dxa"/>
            <w:tcBorders/>
            <w:tcMar>
              <w:top w:w="0" w:type="dxa"/>
              <w:left w:w="0" w:type="dxa"/>
              <w:bottom w:w="0" w:type="dxa"/>
              <w:right w:w="0" w:type="dxa"/>
            </w:tcMar>
            <w:vAlign w:val="center"/>
          </w:tcPr>
          <w:p>
            <w:pPr>
              <w:pStyle w:val="TableContents"/>
              <w:bidi w:val="0"/>
              <w:spacing w:before="0" w:after="283"/>
              <w:ind w:left="0" w:right="0" w:firstLine="1"/>
              <w:jc w:val="right"/>
              <w:rPr>
                <w:rFonts w:ascii="Times New Roman" w:hAnsi="Times New Roman"/>
                <w:color w:val="000000"/>
                <w:sz w:val="22"/>
              </w:rPr>
            </w:pPr>
            <w:r>
              <w:rPr>
                <w:rFonts w:ascii="Times New Roman" w:hAnsi="Times New Roman"/>
                <w:color w:val="000000"/>
                <w:sz w:val="22"/>
              </w:rPr>
              <w:t>0.30%</w:t>
            </w:r>
          </w:p>
        </w:tc>
      </w:tr>
      <w:tr>
        <w:trPr/>
        <w:tc>
          <w:tcPr>
            <w:tcW w:w="2129" w:type="dxa"/>
            <w:tcBorders/>
            <w:tcMar>
              <w:top w:w="0" w:type="dxa"/>
              <w:left w:w="0" w:type="dxa"/>
              <w:bottom w:w="0" w:type="dxa"/>
              <w:right w:w="0" w:type="dxa"/>
            </w:tcMar>
            <w:vAlign w:val="center"/>
          </w:tcPr>
          <w:p>
            <w:pPr>
              <w:pStyle w:val="TableContents"/>
              <w:bidi w:val="0"/>
              <w:spacing w:before="0" w:after="283"/>
              <w:ind w:left="0" w:right="0" w:firstLine="1"/>
              <w:jc w:val="center"/>
              <w:rPr>
                <w:rFonts w:ascii="Times New Roman" w:hAnsi="Times New Roman"/>
                <w:color w:val="000000"/>
                <w:sz w:val="22"/>
              </w:rPr>
            </w:pPr>
            <w:r>
              <w:rPr>
                <w:rFonts w:ascii="Times New Roman" w:hAnsi="Times New Roman"/>
                <w:color w:val="000000"/>
                <w:sz w:val="22"/>
              </w:rPr>
              <w:t>2</w:t>
            </w:r>
          </w:p>
        </w:tc>
        <w:tc>
          <w:tcPr>
            <w:tcW w:w="274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2"/>
              </w:rPr>
              <w:t>2.25 to 1.00</w:t>
            </w:r>
          </w:p>
        </w:tc>
        <w:tc>
          <w:tcPr>
            <w:tcW w:w="1941" w:type="dxa"/>
            <w:tcBorders/>
            <w:tcMar>
              <w:top w:w="0" w:type="dxa"/>
              <w:left w:w="0" w:type="dxa"/>
              <w:bottom w:w="0" w:type="dxa"/>
              <w:right w:w="0" w:type="dxa"/>
            </w:tcMar>
            <w:vAlign w:val="center"/>
          </w:tcPr>
          <w:p>
            <w:pPr>
              <w:pStyle w:val="TableContents"/>
              <w:bidi w:val="0"/>
              <w:spacing w:before="0" w:after="283"/>
              <w:ind w:left="0" w:right="0" w:firstLine="43"/>
              <w:jc w:val="center"/>
              <w:rPr>
                <w:rFonts w:ascii="Times New Roman" w:hAnsi="Times New Roman"/>
                <w:color w:val="000000"/>
                <w:sz w:val="22"/>
              </w:rPr>
            </w:pPr>
            <w:r>
              <w:rPr>
                <w:rFonts w:ascii="Times New Roman" w:hAnsi="Times New Roman"/>
                <w:color w:val="000000"/>
                <w:sz w:val="22"/>
              </w:rPr>
              <w:t>2.75%</w:t>
            </w:r>
          </w:p>
        </w:tc>
        <w:tc>
          <w:tcPr>
            <w:tcW w:w="1841" w:type="dxa"/>
            <w:tcBorders/>
            <w:tcMar>
              <w:top w:w="0" w:type="dxa"/>
              <w:left w:w="0" w:type="dxa"/>
              <w:bottom w:w="0" w:type="dxa"/>
              <w:right w:w="0" w:type="dxa"/>
            </w:tcMar>
            <w:vAlign w:val="center"/>
          </w:tcPr>
          <w:p>
            <w:pPr>
              <w:pStyle w:val="TableContents"/>
              <w:bidi w:val="0"/>
              <w:spacing w:before="0" w:after="283"/>
              <w:ind w:left="0" w:right="0" w:firstLine="43"/>
              <w:jc w:val="center"/>
              <w:rPr>
                <w:rFonts w:ascii="Times New Roman" w:hAnsi="Times New Roman"/>
                <w:color w:val="000000"/>
                <w:sz w:val="22"/>
              </w:rPr>
            </w:pPr>
            <w:r>
              <w:rPr>
                <w:rFonts w:ascii="Times New Roman" w:hAnsi="Times New Roman"/>
                <w:color w:val="000000"/>
                <w:sz w:val="22"/>
              </w:rPr>
              <w:t>1.75%</w:t>
            </w:r>
          </w:p>
        </w:tc>
        <w:tc>
          <w:tcPr>
            <w:tcW w:w="15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0.35%</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“Applicable Margin” for any Incremental Term Loan shall be the percentage per annum provided in the definitive documentation for such Incremental Term Loan.</w:t>
      </w:r>
    </w:p>
    <w:p>
      <w:pPr>
        <w:pStyle w:val="TextBody"/>
        <w:bidi w:val="0"/>
        <w:spacing w:before="240" w:after="283"/>
        <w:jc w:val="both"/>
        <w:rPr/>
      </w:pPr>
      <w:bookmarkStart w:id="42" w:name="xapproved_fund__shall_mean_any_person__o"/>
      <w:bookmarkEnd w:id="42"/>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shall mean any Person (other than a natural Person) that is (or will be) engaged in making, purchasing, holding or otherwise investing in commercial loans and similar extensions of credit in the ordinary course of its business and that is administered or managed by (i) a Lender, (ii) an Affiliate of a Lender or (iii) an entity or an Affiliate of an entity that administers or manages a Lender.</w:t>
      </w:r>
    </w:p>
    <w:p>
      <w:pPr>
        <w:pStyle w:val="TextBody"/>
        <w:bidi w:val="0"/>
        <w:spacing w:before="240" w:after="283"/>
        <w:jc w:val="both"/>
        <w:rPr/>
      </w:pPr>
      <w:bookmarkStart w:id="43" w:name="xarrangers__shall_mean_truist_securities"/>
      <w:bookmarkEnd w:id="43"/>
      <w:r>
        <w:rPr>
          <w:color w:val="000000"/>
        </w:rPr>
        <w:t>“</w:t>
      </w:r>
      <w:r>
        <w:rPr>
          <w:rFonts w:ascii="Times New Roman" w:hAnsi="Times New Roman"/>
          <w:color w:val="000000"/>
          <w:sz w:val="22"/>
          <w:u w:val="single"/>
        </w:rPr>
        <w:t>Arrangers</w:t>
      </w:r>
      <w:r>
        <w:rPr>
          <w:rFonts w:ascii="Times New Roman" w:hAnsi="Times New Roman"/>
          <w:color w:val="000000"/>
          <w:sz w:val="20"/>
        </w:rPr>
        <w:t xml:space="preserve">” </w:t>
      </w:r>
      <w:r>
        <w:rPr>
          <w:rFonts w:ascii="Times New Roman" w:hAnsi="Times New Roman"/>
          <w:color w:val="000000"/>
          <w:sz w:val="22"/>
        </w:rPr>
        <w:t>shall mean Truist Securities, Inc. and BofA Securities, Inc., in their capacities as joint lead arrangers and joint bookrunners.</w:t>
      </w:r>
    </w:p>
    <w:p>
      <w:pPr>
        <w:pStyle w:val="TextBody"/>
        <w:bidi w:val="0"/>
        <w:spacing w:before="240" w:after="283"/>
        <w:jc w:val="both"/>
        <w:rPr/>
      </w:pPr>
      <w:bookmarkStart w:id="44" w:name="xasset_sale__shall_mean_the_sale__transf"/>
      <w:bookmarkEnd w:id="44"/>
      <w:r>
        <w:rPr>
          <w:color w:val="000000"/>
        </w:rPr>
        <w:t>“</w:t>
      </w:r>
      <w:r>
        <w:rPr>
          <w:rFonts w:ascii="Times New Roman" w:hAnsi="Times New Roman"/>
          <w:color w:val="000000"/>
          <w:sz w:val="22"/>
          <w:u w:val="single"/>
        </w:rPr>
        <w:t>Asset Sale</w:t>
      </w:r>
      <w:r>
        <w:rPr>
          <w:rFonts w:ascii="Times New Roman" w:hAnsi="Times New Roman"/>
          <w:color w:val="000000"/>
          <w:sz w:val="20"/>
        </w:rPr>
        <w:t xml:space="preserve">” </w:t>
      </w:r>
      <w:r>
        <w:rPr>
          <w:rFonts w:ascii="Times New Roman" w:hAnsi="Times New Roman"/>
          <w:color w:val="000000"/>
          <w:sz w:val="22"/>
        </w:rPr>
        <w:t xml:space="preserve">shall mean the sale, transfer, license, lease or other disposition of any property by Holdings, the Borrower or any of their respective Subsidiaries, including any sale and leaseback transaction and any sale, assignment, transfer or other disposal, with or without recourse, of any notes or accounts receivable or any rights and claims associated therewith, but excluding (a) the sale of inventory in the ordinary course of business; (b) the sale or disposition for fair market value of surplus, obsolete or worn out property or other property not necessary for operations of Holdings, the Borrower and their respective Subsidiaries disposed of in the ordinary course of business; (c) the disposition of property (including the cancellation of Indebtedness permitted by </w:t>
      </w:r>
      <w:r>
        <w:rPr>
          <w:rFonts w:ascii="Times New Roman" w:hAnsi="Times New Roman"/>
          <w:color w:val="000000"/>
          <w:sz w:val="22"/>
          <w:u w:val="single"/>
        </w:rPr>
        <w:t>Section 7.4(d)</w:t>
      </w:r>
      <w:r>
        <w:rPr>
          <w:rFonts w:ascii="Times New Roman" w:hAnsi="Times New Roman"/>
          <w:color w:val="000000"/>
          <w:sz w:val="22"/>
        </w:rPr>
        <w:t xml:space="preserve">) to Holdings, the Borrower or any of their respective Subsidiaries; </w:t>
      </w:r>
      <w:r>
        <w:rPr>
          <w:rFonts w:ascii="Times New Roman" w:hAnsi="Times New Roman"/>
          <w:color w:val="000000"/>
          <w:sz w:val="22"/>
          <w:u w:val="single"/>
        </w:rPr>
        <w:t>provided</w:t>
      </w:r>
      <w:r>
        <w:rPr>
          <w:rFonts w:ascii="Times New Roman" w:hAnsi="Times New Roman"/>
          <w:color w:val="000000"/>
          <w:sz w:val="22"/>
        </w:rPr>
        <w:t>, that if the transferor of such property is a Loan Party then the transferee thereof must be a Loan Party; (d) the disposition of accounts receivable in connection with the collection or compromise thereof; (e) licenses, sublicenses, leases or subleases granted to others in the ordinary course of business or not interfering in any material respect with the business of Holdings, the Borrower or any of their respective Subsidiaries; (f) the sale or disposition of Cash Equivalents for fair market value in the ordinary course of business and (g) the disposition of shares of Capital Stock of any Subsidiary of Holdings in order to qualify members of the governing body of such Subsidiary of Holdings if required by applicable Law.</w:t>
      </w:r>
    </w:p>
    <w:p>
      <w:pPr>
        <w:pStyle w:val="TextBody"/>
        <w:bidi w:val="0"/>
        <w:spacing w:before="240" w:after="283"/>
        <w:jc w:val="both"/>
        <w:rPr/>
      </w:pPr>
      <w:bookmarkStart w:id="45" w:name="xassignment_and_acceptance__shall_mean_a"/>
      <w:bookmarkEnd w:id="45"/>
      <w:r>
        <w:rPr>
          <w:color w:val="000000"/>
        </w:rPr>
        <w:t>“</w:t>
      </w:r>
      <w:r>
        <w:rPr>
          <w:rFonts w:ascii="Times New Roman" w:hAnsi="Times New Roman"/>
          <w:color w:val="000000"/>
          <w:sz w:val="22"/>
          <w:u w:val="single"/>
        </w:rPr>
        <w:t>Assignment and Acceptance</w:t>
      </w:r>
      <w:r>
        <w:rPr>
          <w:rFonts w:ascii="Times New Roman" w:hAnsi="Times New Roman"/>
          <w:color w:val="000000"/>
          <w:sz w:val="20"/>
        </w:rPr>
        <w:t xml:space="preserve">” </w:t>
      </w:r>
      <w:r>
        <w:rPr>
          <w:rFonts w:ascii="Times New Roman" w:hAnsi="Times New Roman"/>
          <w:color w:val="000000"/>
          <w:sz w:val="22"/>
        </w:rPr>
        <w:t xml:space="preserve">shall mean an assignment and acceptance entered into by a Lender and an assignee (with the consent of any party whose consent is required by </w:t>
      </w:r>
      <w:r>
        <w:rPr>
          <w:rFonts w:ascii="Times New Roman" w:hAnsi="Times New Roman"/>
          <w:color w:val="000000"/>
          <w:sz w:val="22"/>
          <w:u w:val="single"/>
        </w:rPr>
        <w:t>Section 11.4(b)</w:t>
      </w:r>
      <w:r>
        <w:rPr>
          <w:rFonts w:ascii="Times New Roman" w:hAnsi="Times New Roman"/>
          <w:color w:val="000000"/>
          <w:sz w:val="22"/>
        </w:rPr>
        <w:t xml:space="preserve">) and accepted by the Administrative Agent, in the form of </w:t>
      </w:r>
      <w:r>
        <w:rPr>
          <w:rFonts w:ascii="Times New Roman" w:hAnsi="Times New Roman"/>
          <w:color w:val="000000"/>
          <w:sz w:val="22"/>
          <w:u w:val="single"/>
        </w:rPr>
        <w:t>Exhibit 11.4</w:t>
      </w:r>
      <w:r>
        <w:rPr>
          <w:rFonts w:ascii="Times New Roman" w:hAnsi="Times New Roman"/>
          <w:color w:val="000000"/>
          <w:sz w:val="20"/>
        </w:rPr>
        <w:t xml:space="preserve"> </w:t>
      </w:r>
      <w:r>
        <w:rPr>
          <w:rFonts w:ascii="Times New Roman" w:hAnsi="Times New Roman"/>
          <w:color w:val="000000"/>
          <w:sz w:val="22"/>
        </w:rPr>
        <w:t>attached hereto or any other form approved by the Administrative Agent.</w:t>
      </w:r>
    </w:p>
    <w:p>
      <w:pPr>
        <w:pStyle w:val="TextBody"/>
        <w:bidi w:val="0"/>
        <w:spacing w:before="240" w:after="283"/>
        <w:jc w:val="both"/>
        <w:rPr/>
      </w:pPr>
      <w:bookmarkStart w:id="46" w:name="xaudited_financial_statements__shall_mea"/>
      <w:bookmarkEnd w:id="46"/>
      <w:r>
        <w:rPr>
          <w:color w:val="000000"/>
        </w:rPr>
        <w:t>“</w:t>
      </w:r>
      <w:r>
        <w:rPr>
          <w:rFonts w:ascii="Times New Roman" w:hAnsi="Times New Roman"/>
          <w:color w:val="000000"/>
          <w:sz w:val="22"/>
          <w:u w:val="single"/>
        </w:rPr>
        <w:t>Audited Financial Statements</w:t>
      </w:r>
      <w:r>
        <w:rPr>
          <w:rFonts w:ascii="Times New Roman" w:hAnsi="Times New Roman"/>
          <w:color w:val="000000"/>
          <w:sz w:val="20"/>
        </w:rPr>
        <w:t xml:space="preserve">” </w:t>
      </w:r>
      <w:r>
        <w:rPr>
          <w:rFonts w:ascii="Times New Roman" w:hAnsi="Times New Roman"/>
          <w:color w:val="000000"/>
          <w:sz w:val="22"/>
        </w:rPr>
        <w:t>shall mean the audited consolidated balance sheet of Holdings and its Subsidiaries for the Fiscal Year ended December 31, 2025, and the related consolidated statements of income or operations, stockholders’ equity and cash flows of Holdings and its Subsidiaries for such Fiscal Year, including the notes thereto.</w:t>
      </w:r>
    </w:p>
    <w:p>
      <w:pPr>
        <w:pStyle w:val="TextBody"/>
        <w:bidi w:val="0"/>
        <w:spacing w:before="240" w:after="283"/>
        <w:jc w:val="both"/>
        <w:rPr/>
      </w:pPr>
      <w:bookmarkStart w:id="47" w:name="xavailability_period__shall_mean_the_per"/>
      <w:bookmarkEnd w:id="47"/>
      <w:r>
        <w:rPr>
          <w:color w:val="000000"/>
        </w:rPr>
        <w:t>“</w:t>
      </w:r>
      <w:r>
        <w:rPr>
          <w:rFonts w:ascii="Times New Roman" w:hAnsi="Times New Roman"/>
          <w:color w:val="000000"/>
          <w:sz w:val="22"/>
          <w:u w:val="single"/>
        </w:rPr>
        <w:t>Availability Period</w:t>
      </w:r>
      <w:r>
        <w:rPr>
          <w:rFonts w:ascii="Times New Roman" w:hAnsi="Times New Roman"/>
          <w:color w:val="000000"/>
          <w:sz w:val="20"/>
        </w:rPr>
        <w:t xml:space="preserve">” </w:t>
      </w:r>
      <w:r>
        <w:rPr>
          <w:rFonts w:ascii="Times New Roman" w:hAnsi="Times New Roman"/>
          <w:color w:val="000000"/>
          <w:sz w:val="22"/>
        </w:rPr>
        <w:t>shall mean the period from the Closing Date to but excluding the Revolving Commitment Termination Date.</w:t>
      </w:r>
    </w:p>
    <w:p>
      <w:pPr>
        <w:pStyle w:val="TextBody"/>
        <w:bidi w:val="0"/>
        <w:spacing w:before="240" w:after="283"/>
        <w:jc w:val="both"/>
        <w:rPr/>
      </w:pPr>
      <w:bookmarkStart w:id="48" w:name="xavailable_tenor__shall_mean__as_of_any_"/>
      <w:bookmarkEnd w:id="48"/>
      <w:r>
        <w:rPr>
          <w:color w:val="000000"/>
        </w:rPr>
        <w:t>“</w:t>
      </w:r>
      <w:r>
        <w:rPr>
          <w:rFonts w:ascii="Times New Roman" w:hAnsi="Times New Roman"/>
          <w:color w:val="000000"/>
          <w:sz w:val="22"/>
          <w:u w:val="single"/>
        </w:rPr>
        <w:t>Available Tenor</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olor w:val="000000"/>
          <w:sz w:val="22"/>
          <w:u w:val="single"/>
        </w:rPr>
        <w:t>Section 2.16(e)</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49" w:name="xbail_in_action__shall_mean_the_exercise"/>
      <w:bookmarkEnd w:id="49"/>
      <w:r>
        <w:rPr>
          <w:color w:val="000000"/>
        </w:rPr>
        <w:t>“</w:t>
      </w:r>
      <w:r>
        <w:rPr>
          <w:rFonts w:ascii="Times New Roman" w:hAnsi="Times New Roman"/>
          <w:color w:val="000000"/>
          <w:sz w:val="22"/>
          <w:u w:val="single"/>
        </w:rPr>
        <w:t>Bail-In Action</w:t>
      </w:r>
      <w:r>
        <w:rPr>
          <w:rFonts w:ascii="Times New Roman" w:hAnsi="Times New Roman"/>
          <w:color w:val="000000"/>
          <w:sz w:val="20"/>
        </w:rPr>
        <w:t xml:space="preserve">” </w:t>
      </w:r>
      <w:r>
        <w:rPr>
          <w:rFonts w:ascii="Times New Roman" w:hAnsi="Times New Roman"/>
          <w:color w:val="000000"/>
          <w:sz w:val="22"/>
        </w:rPr>
        <w:t>shall mean the exercise of any Write-Down and Conversion Powers by the applicable Resolution Authority in respect of any liability of an Affected Financial Institution.</w:t>
      </w:r>
    </w:p>
    <w:p>
      <w:pPr>
        <w:pStyle w:val="TextBody"/>
        <w:bidi w:val="0"/>
        <w:spacing w:before="240" w:after="283"/>
        <w:jc w:val="both"/>
        <w:rPr/>
      </w:pPr>
      <w:bookmarkStart w:id="50" w:name="xbail_in_legislation__shall_mean__with_r"/>
      <w:bookmarkEnd w:id="50"/>
      <w:r>
        <w:rPr>
          <w:color w:val="000000"/>
        </w:rPr>
        <w:t>“</w:t>
      </w:r>
      <w:r>
        <w:rPr>
          <w:rFonts w:ascii="Times New Roman" w:hAnsi="Times New Roman"/>
          <w:color w:val="000000"/>
          <w:sz w:val="22"/>
          <w:u w:val="single"/>
        </w:rPr>
        <w:t>Bail-In Legislation</w:t>
      </w:r>
      <w:r>
        <w:rPr>
          <w:rFonts w:ascii="Times New Roman" w:hAnsi="Times New Roman"/>
          <w:color w:val="000000"/>
          <w:sz w:val="20"/>
        </w:rPr>
        <w:t xml:space="preserve">” </w:t>
      </w:r>
      <w:r>
        <w:rPr>
          <w:rFonts w:ascii="Times New Roman" w:hAnsi="Times New Roman"/>
          <w:color w:val="000000"/>
          <w:sz w:val="22"/>
        </w:rPr>
        <w:t>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pStyle w:val="TextBody"/>
        <w:bidi w:val="0"/>
        <w:spacing w:before="240" w:after="283"/>
        <w:jc w:val="both"/>
        <w:rPr/>
      </w:pPr>
      <w:bookmarkStart w:id="51" w:name="xbank_product_obligations__shall_mean__c"/>
      <w:bookmarkEnd w:id="51"/>
      <w:r>
        <w:rPr>
          <w:color w:val="000000"/>
        </w:rPr>
        <w:t>“</w:t>
      </w:r>
      <w:r>
        <w:rPr>
          <w:rFonts w:ascii="Times New Roman" w:hAnsi="Times New Roman"/>
          <w:color w:val="000000"/>
          <w:sz w:val="22"/>
          <w:u w:val="single"/>
        </w:rPr>
        <w:t>Bank Product Obligations</w:t>
      </w:r>
      <w:r>
        <w:rPr>
          <w:rFonts w:ascii="Times New Roman" w:hAnsi="Times New Roman"/>
          <w:color w:val="000000"/>
          <w:sz w:val="20"/>
        </w:rPr>
        <w:t xml:space="preserve">” </w:t>
      </w:r>
      <w:r>
        <w:rPr>
          <w:rFonts w:ascii="Times New Roman" w:hAnsi="Times New Roman"/>
          <w:color w:val="000000"/>
          <w:sz w:val="22"/>
        </w:rPr>
        <w:t>shall mean, collectively, all obligations and other liabilities of any Loan Party or any Subsidiary of Holdings to any Bank Product Provider arising with respect to any Bank Products.</w:t>
      </w:r>
    </w:p>
    <w:p>
      <w:pPr>
        <w:pStyle w:val="TextBody"/>
        <w:bidi w:val="0"/>
        <w:spacing w:before="240" w:after="283"/>
        <w:jc w:val="both"/>
        <w:rPr/>
      </w:pPr>
      <w:bookmarkStart w:id="52" w:name="xbank_product_provider__shall_mean_any_p"/>
      <w:bookmarkEnd w:id="52"/>
      <w:r>
        <w:rPr>
          <w:color w:val="000000"/>
        </w:rPr>
        <w:t>“</w:t>
      </w:r>
      <w:r>
        <w:rPr>
          <w:rFonts w:ascii="Times New Roman" w:hAnsi="Times New Roman"/>
          <w:color w:val="000000"/>
          <w:sz w:val="22"/>
          <w:u w:val="single"/>
        </w:rPr>
        <w:t>Bank Product Provider</w:t>
      </w:r>
      <w:r>
        <w:rPr>
          <w:rFonts w:ascii="Times New Roman" w:hAnsi="Times New Roman"/>
          <w:color w:val="000000"/>
          <w:sz w:val="20"/>
        </w:rPr>
        <w:t xml:space="preserve">” </w:t>
      </w:r>
      <w:r>
        <w:rPr>
          <w:rFonts w:ascii="Times New Roman" w:hAnsi="Times New Roman"/>
          <w:color w:val="000000"/>
          <w:sz w:val="22"/>
        </w:rPr>
        <w:t xml:space="preserve">shall mean any Person that (a) (i) at the time it provides any Bank Products to any Loan Party or any Subsidiary of Holdings, is a Lender or an Affiliate of a Lender or (ii) has provided any Bank Products to any Loan Party or Subsidiary of Holdings that exist on the Closing Date, and such Person is a Lender or an Affiliate of a Lender on the Closing Date and (b) except when the Bank Product Provider is Truist Bank and its Affiliates, has provided prior written notice to the Administrative Agent which has been acknowledged by the Borrower of the existence of such Bank Product. In no event shall any Bank Product Provider acting in such capacity be deemed a Lender for purposes hereof to the extent of and as to Bank Products except that each reference to the term “Lender” in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11.4</w:t>
      </w:r>
      <w:r>
        <w:rPr>
          <w:rFonts w:ascii="Times New Roman" w:hAnsi="Times New Roman"/>
          <w:color w:val="000000"/>
          <w:sz w:val="20"/>
        </w:rPr>
        <w:t xml:space="preserve"> </w:t>
      </w:r>
      <w:r>
        <w:rPr>
          <w:rFonts w:ascii="Times New Roman" w:hAnsi="Times New Roman"/>
          <w:color w:val="000000"/>
          <w:sz w:val="22"/>
        </w:rPr>
        <w:t>shall be deemed to include such Bank Product Provider and in no event shall the approval of any such person in its capacity as Bank Product Provider be required in connection with the release or termination of any security interest or Lien of the Administrative Agent.</w:t>
      </w:r>
    </w:p>
    <w:p>
      <w:pPr>
        <w:pStyle w:val="TextBody"/>
        <w:bidi w:val="0"/>
        <w:spacing w:before="240" w:after="283"/>
        <w:jc w:val="both"/>
        <w:rPr/>
      </w:pPr>
      <w:bookmarkStart w:id="53" w:name="xbank_products__shall_mean_any_of_the_fo"/>
      <w:bookmarkEnd w:id="53"/>
      <w:r>
        <w:rPr>
          <w:color w:val="000000"/>
        </w:rPr>
        <w:t>“</w:t>
      </w:r>
      <w:r>
        <w:rPr>
          <w:rFonts w:ascii="Times New Roman" w:hAnsi="Times New Roman"/>
          <w:color w:val="000000"/>
          <w:sz w:val="22"/>
          <w:u w:val="single"/>
        </w:rPr>
        <w:t>Bank Products</w:t>
      </w:r>
      <w:r>
        <w:rPr>
          <w:rFonts w:ascii="Times New Roman" w:hAnsi="Times New Roman"/>
          <w:color w:val="000000"/>
          <w:sz w:val="20"/>
        </w:rPr>
        <w:t xml:space="preserve">” </w:t>
      </w:r>
      <w:r>
        <w:rPr>
          <w:rFonts w:ascii="Times New Roman" w:hAnsi="Times New Roman"/>
          <w:color w:val="000000"/>
          <w:sz w:val="22"/>
        </w:rPr>
        <w:t>shall mean any of the following services provided to any Loan Party or any Subsidiary of Holdings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 (including purchasing card and commercial card), prepaid cards, including payroll, stored value and gift cards, merchant services processing, and debit card services.</w:t>
      </w:r>
    </w:p>
    <w:p>
      <w:pPr>
        <w:pStyle w:val="TextBody"/>
        <w:bidi w:val="0"/>
        <w:spacing w:before="240" w:after="283"/>
        <w:jc w:val="both"/>
        <w:rPr/>
      </w:pPr>
      <w:bookmarkStart w:id="54" w:name="xbase_rate__shall_mean_for_any_day_a_rat"/>
      <w:bookmarkEnd w:id="54"/>
      <w:r>
        <w:rPr>
          <w:color w:val="000000"/>
        </w:rPr>
        <w:t>“</w:t>
      </w:r>
      <w:r>
        <w:rPr>
          <w:rFonts w:ascii="Times New Roman" w:hAnsi="Times New Roman"/>
          <w:color w:val="000000"/>
          <w:sz w:val="22"/>
          <w:u w:val="single"/>
        </w:rPr>
        <w:t>Base Rate</w:t>
      </w:r>
      <w:r>
        <w:rPr>
          <w:rFonts w:ascii="Times New Roman" w:hAnsi="Times New Roman"/>
          <w:color w:val="000000"/>
          <w:sz w:val="20"/>
        </w:rPr>
        <w:t xml:space="preserve">” </w:t>
      </w:r>
      <w:r>
        <w:rPr>
          <w:rFonts w:ascii="Times New Roman" w:hAnsi="Times New Roman"/>
          <w:color w:val="000000"/>
          <w:sz w:val="22"/>
        </w:rPr>
        <w:t>shall mean for any day a rate per annum equal to the highest of (a) the rate which the Administrative Agent announces from time to time as its prime lending rate, as in effect from time to time (the “</w:t>
      </w:r>
      <w:r>
        <w:rPr>
          <w:rFonts w:ascii="Times New Roman" w:hAnsi="Times New Roman"/>
          <w:color w:val="000000"/>
          <w:sz w:val="22"/>
          <w:u w:val="single"/>
        </w:rPr>
        <w:t>Prime Rate</w:t>
      </w:r>
      <w:r>
        <w:rPr>
          <w:rFonts w:ascii="Times New Roman" w:hAnsi="Times New Roman"/>
          <w:color w:val="000000"/>
          <w:sz w:val="20"/>
        </w:rPr>
        <w:t>”</w:t>
      </w:r>
      <w:r>
        <w:rPr>
          <w:rFonts w:ascii="Times New Roman" w:hAnsi="Times New Roman"/>
          <w:color w:val="000000"/>
          <w:sz w:val="22"/>
        </w:rPr>
        <w:t xml:space="preserve">), (b) the Federal Funds Rate, as in effect from time to time,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one-half of one percent (0.50%) per annum and (c) Term SOFR for a one-month tenor in effect 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one percent (1.00%) (any changes in such rates to be effective as of the date of any change in such rate). The Administrative Agent’s prime lending rate is a reference rate and does not necessarily represent the lowest or best rate actually charged to any customer. The Administrative Agent, the Lenders, and the Issuing Bank may make commercial loans or other loans at rates of interest at, above, or below the Administrative Agent’s prime lending rate. Any change in the Base Rate due to a change in the Prime Rate, the Federal Funds Rate, or Term SOFR will be effective from and including the effective date of such change in the Prime Rate, the Federal Funds Rate, or Term SOFR, respectively. Notwithstanding anything to the contrary in the foregoing, if the Base Rate is less than the Floor, such rate shall be deemed to be the Floor for purposes of this Agreement.</w:t>
      </w:r>
    </w:p>
    <w:p>
      <w:pPr>
        <w:pStyle w:val="TextBody"/>
        <w:bidi w:val="0"/>
        <w:spacing w:before="240" w:after="283"/>
        <w:jc w:val="both"/>
        <w:rPr/>
      </w:pPr>
      <w:bookmarkStart w:id="55" w:name="xbase_rate_borrowing__shall_mean_a_borro"/>
      <w:bookmarkEnd w:id="55"/>
      <w:r>
        <w:rPr>
          <w:color w:val="000000"/>
        </w:rPr>
        <w:t>“</w:t>
      </w:r>
      <w:r>
        <w:rPr>
          <w:rFonts w:ascii="Times New Roman" w:hAnsi="Times New Roman"/>
          <w:color w:val="000000"/>
          <w:sz w:val="22"/>
          <w:u w:val="single"/>
        </w:rPr>
        <w:t>Base Rate Borrowing</w:t>
      </w:r>
      <w:r>
        <w:rPr>
          <w:rFonts w:ascii="Times New Roman" w:hAnsi="Times New Roman"/>
          <w:color w:val="000000"/>
          <w:sz w:val="20"/>
        </w:rPr>
        <w:t xml:space="preserve">” </w:t>
      </w:r>
      <w:r>
        <w:rPr>
          <w:rFonts w:ascii="Times New Roman" w:hAnsi="Times New Roman"/>
          <w:color w:val="000000"/>
          <w:sz w:val="22"/>
        </w:rPr>
        <w:t>shall mean a Borrowing that bears interest at a rate based on the Base Rate.</w:t>
      </w:r>
    </w:p>
    <w:p>
      <w:pPr>
        <w:pStyle w:val="TextBody"/>
        <w:bidi w:val="0"/>
        <w:spacing w:before="240" w:after="283"/>
        <w:jc w:val="both"/>
        <w:rPr/>
      </w:pPr>
      <w:bookmarkStart w:id="56" w:name="xbase_rate_loan__shall_mean_a_loan_that_"/>
      <w:bookmarkEnd w:id="56"/>
      <w:r>
        <w:rPr>
          <w:color w:val="000000"/>
        </w:rPr>
        <w:t>“</w:t>
      </w:r>
      <w:r>
        <w:rPr>
          <w:rFonts w:ascii="Times New Roman" w:hAnsi="Times New Roman"/>
          <w:color w:val="000000"/>
          <w:sz w:val="22"/>
          <w:u w:val="single"/>
        </w:rPr>
        <w:t>Base Rate Loan</w:t>
      </w:r>
      <w:r>
        <w:rPr>
          <w:rFonts w:ascii="Times New Roman" w:hAnsi="Times New Roman"/>
          <w:color w:val="000000"/>
          <w:sz w:val="20"/>
        </w:rPr>
        <w:t xml:space="preserve">” </w:t>
      </w:r>
      <w:r>
        <w:rPr>
          <w:rFonts w:ascii="Times New Roman" w:hAnsi="Times New Roman"/>
          <w:color w:val="000000"/>
          <w:sz w:val="22"/>
        </w:rPr>
        <w:t>shall mean a Loan that bears interest at a rate based on the Base Rate.</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57" w:name="xbase_rate_term_sofr_determination_day__"/>
      <w:bookmarkEnd w:id="57"/>
      <w:r>
        <w:rPr>
          <w:color w:val="000000"/>
        </w:rPr>
        <w:t>“</w:t>
      </w:r>
      <w:r>
        <w:rPr>
          <w:rFonts w:ascii="Times New Roman" w:hAnsi="Times New Roman"/>
          <w:color w:val="000000"/>
          <w:sz w:val="22"/>
          <w:u w:val="single"/>
        </w:rPr>
        <w:t>Base Rate Term SOFR Determination Day</w:t>
      </w:r>
      <w:r>
        <w:rPr>
          <w:rFonts w:ascii="Times New Roman" w:hAnsi="Times New Roman"/>
          <w:color w:val="000000"/>
          <w:sz w:val="20"/>
        </w:rPr>
        <w:t xml:space="preserve">” </w:t>
      </w:r>
      <w:r>
        <w:rPr>
          <w:rFonts w:ascii="Times New Roman" w:hAnsi="Times New Roman"/>
          <w:color w:val="000000"/>
          <w:sz w:val="22"/>
        </w:rPr>
        <w:t>shall have the meaning set forth the definition of “Term SOFR”.</w:t>
      </w:r>
    </w:p>
    <w:p>
      <w:pPr>
        <w:pStyle w:val="TextBody"/>
        <w:bidi w:val="0"/>
        <w:spacing w:before="240" w:after="283"/>
        <w:jc w:val="both"/>
        <w:rPr/>
      </w:pPr>
      <w:bookmarkStart w:id="58" w:name="xbenchmark__shall_mean__initially__the_t"/>
      <w:bookmarkEnd w:id="58"/>
      <w:r>
        <w:rPr>
          <w:color w:val="000000"/>
        </w:rPr>
        <w:t>“</w:t>
      </w:r>
      <w:r>
        <w:rPr>
          <w:rFonts w:ascii="Times New Roman" w:hAnsi="Times New Roman"/>
          <w:color w:val="000000"/>
          <w:sz w:val="22"/>
          <w:u w:val="single"/>
        </w:rPr>
        <w:t>Benchmark</w:t>
      </w:r>
      <w:r>
        <w:rPr>
          <w:rFonts w:ascii="Times New Roman" w:hAnsi="Times New Roman"/>
          <w:color w:val="000000"/>
          <w:sz w:val="20"/>
        </w:rPr>
        <w:t xml:space="preserve">” </w:t>
      </w:r>
      <w:r>
        <w:rPr>
          <w:rFonts w:ascii="Times New Roman" w:hAnsi="Times New Roman"/>
          <w:color w:val="000000"/>
          <w:sz w:val="22"/>
        </w:rPr>
        <w:t xml:space="preserve">shall mean, initially, the Term SOFR Reference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 w:hAnsi="Times New Roman"/>
          <w:color w:val="000000"/>
          <w:sz w:val="22"/>
          <w:u w:val="single"/>
        </w:rPr>
        <w:t>Section 2.16(b)</w:t>
      </w:r>
      <w:r>
        <w:rPr>
          <w:rFonts w:ascii="Times New Roman" w:hAnsi="Times New Roman"/>
          <w:color w:val="000000"/>
          <w:sz w:val="22"/>
        </w:rPr>
        <w:t>.</w:t>
      </w:r>
    </w:p>
    <w:p>
      <w:pPr>
        <w:pStyle w:val="TextBody"/>
        <w:bidi w:val="0"/>
        <w:spacing w:before="240" w:after="283"/>
        <w:jc w:val="both"/>
        <w:rPr/>
      </w:pPr>
      <w:bookmarkStart w:id="59" w:name="xbenchmark_replacement__shall_mean_with_"/>
      <w:bookmarkEnd w:id="59"/>
      <w:r>
        <w:rPr>
          <w:color w:val="000000"/>
        </w:rPr>
        <w:t>“</w:t>
      </w:r>
      <w:r>
        <w:rPr>
          <w:rFonts w:ascii="Times New Roman" w:hAnsi="Times New Roman"/>
          <w:color w:val="000000"/>
          <w:sz w:val="22"/>
          <w:u w:val="single"/>
        </w:rPr>
        <w:t>Benchmark Replacement</w:t>
      </w:r>
      <w:r>
        <w:rPr>
          <w:rFonts w:ascii="Times New Roman" w:hAnsi="Times New Roman"/>
          <w:color w:val="000000"/>
          <w:sz w:val="20"/>
        </w:rPr>
        <w:t xml:space="preserve">” </w:t>
      </w:r>
      <w:r>
        <w:rPr>
          <w:rFonts w:ascii="Times New Roman" w:hAnsi="Times New Roman"/>
          <w:color w:val="000000"/>
          <w:sz w:val="22"/>
        </w:rPr>
        <w:t>shall mean with respect to any Benchmark Transition Event, the first alternative set forth in the order below that can be determined by the Administrative Agent for the applicable Benchmark Replacement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Daily Simple SOFR;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the Benchmark Replacement would be less than the Floor, the Benchmark Replacement will be deemed to be the Floor for the purposes of this Agreement and the other Loan Documents.</w:t>
      </w:r>
    </w:p>
    <w:p>
      <w:pPr>
        <w:pStyle w:val="TextBody"/>
        <w:bidi w:val="0"/>
        <w:spacing w:before="240" w:after="283"/>
        <w:jc w:val="both"/>
        <w:rPr/>
      </w:pPr>
      <w:bookmarkStart w:id="60" w:name="xbenchmark_replacement_adjustment__shall"/>
      <w:bookmarkEnd w:id="60"/>
      <w:r>
        <w:rPr>
          <w:color w:val="000000"/>
        </w:rPr>
        <w:t>“</w:t>
      </w:r>
      <w:r>
        <w:rPr>
          <w:rFonts w:ascii="Times New Roman" w:hAnsi="Times New Roman"/>
          <w:color w:val="000000"/>
          <w:sz w:val="22"/>
          <w:u w:val="single"/>
        </w:rPr>
        <w:t>Benchmark Replacement Adjustment</w:t>
      </w:r>
      <w:r>
        <w:rPr>
          <w:rFonts w:ascii="Times New Roman" w:hAnsi="Times New Roman"/>
          <w:color w:val="000000"/>
          <w:sz w:val="20"/>
        </w:rPr>
        <w:t xml:space="preserve">” </w:t>
      </w:r>
      <w:r>
        <w:rPr>
          <w:rFonts w:ascii="Times New Roman" w:hAnsi="Times New Roman"/>
          <w:color w:val="000000"/>
          <w:sz w:val="22"/>
        </w:rPr>
        <w:t>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240" w:after="283"/>
        <w:jc w:val="both"/>
        <w:rPr/>
      </w:pPr>
      <w:bookmarkStart w:id="61" w:name="xbenchmark_replacement_date__shall_mean_"/>
      <w:bookmarkEnd w:id="61"/>
      <w:r>
        <w:rPr>
          <w:color w:val="000000"/>
        </w:rPr>
        <w:t>“</w:t>
      </w:r>
      <w:r>
        <w:rPr>
          <w:rFonts w:ascii="Times New Roman" w:hAnsi="Times New Roman"/>
          <w:color w:val="000000"/>
          <w:sz w:val="22"/>
          <w:u w:val="single"/>
        </w:rPr>
        <w:t>Benchmark Replacement Date</w:t>
      </w:r>
      <w:r>
        <w:rPr>
          <w:rFonts w:ascii="Times New Roman" w:hAnsi="Times New Roman"/>
          <w:color w:val="000000"/>
          <w:sz w:val="20"/>
        </w:rPr>
        <w:t xml:space="preserve">” </w:t>
      </w:r>
      <w:r>
        <w:rPr>
          <w:rFonts w:ascii="Times New Roman" w:hAnsi="Times New Roman"/>
          <w:color w:val="000000"/>
          <w:sz w:val="22"/>
        </w:rPr>
        <w:t>shall mean a date and time determined by the Administrative Agent, which date shall be no later than the earlier to occur of the following events with respect to the then-current Benchmark: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the case of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color w:val="000000"/>
        </w:rPr>
        <w:t xml:space="preserve"> </w:t>
      </w:r>
      <w:r>
        <w:rPr>
          <w:rFonts w:ascii="Times New Roman" w:hAnsi="Times New Roman"/>
          <w:color w:val="000000"/>
          <w:sz w:val="22"/>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the case of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non-representativeness will be determined by reference to the most recent statement or publication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referenced in such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and even if any Available Tenor of such Benchmark (or such component thereof) continues to be provided on such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the “Benchmark Replacement Date” will be deemed to have occurred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40" w:after="283"/>
        <w:jc w:val="both"/>
        <w:rPr/>
      </w:pPr>
      <w:bookmarkStart w:id="62" w:name="xbenchmark_transition_event__shall_mean_"/>
      <w:bookmarkEnd w:id="62"/>
      <w:r>
        <w:rPr>
          <w:color w:val="000000"/>
        </w:rPr>
        <w:t>“</w:t>
      </w:r>
      <w:r>
        <w:rPr>
          <w:rFonts w:ascii="Times New Roman" w:hAnsi="Times New Roman"/>
          <w:color w:val="000000"/>
          <w:sz w:val="22"/>
          <w:u w:val="single"/>
        </w:rPr>
        <w:t>Benchmark Transition Event</w:t>
      </w:r>
      <w:r>
        <w:rPr>
          <w:rFonts w:ascii="Times New Roman" w:hAnsi="Times New Roman"/>
          <w:color w:val="000000"/>
          <w:sz w:val="20"/>
        </w:rPr>
        <w:t xml:space="preserve">” </w:t>
      </w:r>
      <w:r>
        <w:rPr>
          <w:rFonts w:ascii="Times New Roman" w:hAnsi="Times New Roman"/>
          <w:color w:val="000000"/>
          <w:sz w:val="22"/>
        </w:rPr>
        <w:t>shall mean the occurrence of one or more of the following events with respect to the then-current Benchmark: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40" w:after="283"/>
        <w:jc w:val="both"/>
        <w:rPr/>
      </w:pPr>
      <w:bookmarkStart w:id="63" w:name="xbenchmark_unavailability_period__shall_"/>
      <w:bookmarkEnd w:id="63"/>
      <w:r>
        <w:rPr>
          <w:color w:val="000000"/>
        </w:rPr>
        <w:t>“</w:t>
      </w:r>
      <w:r>
        <w:rPr>
          <w:rFonts w:ascii="Times New Roman" w:hAnsi="Times New Roman"/>
          <w:color w:val="000000"/>
          <w:sz w:val="22"/>
          <w:u w:val="single"/>
        </w:rPr>
        <w:t>Benchmark Unavailability Period</w:t>
      </w:r>
      <w:r>
        <w:rPr>
          <w:rFonts w:ascii="Times New Roman" w:hAnsi="Times New Roman"/>
          <w:color w:val="000000"/>
          <w:sz w:val="20"/>
        </w:rPr>
        <w:t xml:space="preserve">” </w:t>
      </w:r>
      <w:r>
        <w:rPr>
          <w:rFonts w:ascii="Times New Roman" w:hAnsi="Times New Roman"/>
          <w:color w:val="000000"/>
          <w:sz w:val="22"/>
        </w:rPr>
        <w:t xml:space="preserve">shall mean,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and (b) ending at the time that a Benchmark Replacement has replaced the then-current Benchmark for all purposes hereunder and under any Loan Document in accordance with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240" w:after="283"/>
        <w:jc w:val="both"/>
        <w:rPr/>
      </w:pPr>
      <w:bookmarkStart w:id="64" w:name="xbeneficial_ownership_certification__sha"/>
      <w:bookmarkEnd w:id="64"/>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shall mean a certification regarding beneficial ownership as required by the Beneficial Ownership Regulation.</w:t>
      </w:r>
    </w:p>
    <w:p>
      <w:pPr>
        <w:pStyle w:val="TextBody"/>
        <w:bidi w:val="0"/>
        <w:spacing w:before="240" w:after="283"/>
        <w:jc w:val="both"/>
        <w:rPr/>
      </w:pPr>
      <w:bookmarkStart w:id="65" w:name="xbeneficial_ownership_regulation__shall_"/>
      <w:bookmarkEnd w:id="65"/>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shall mean 31 C.F.R. § 1010.230.</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66" w:name="xbenefit_plan__shall_mean_any_of__a__an_"/>
      <w:bookmarkEnd w:id="66"/>
      <w:r>
        <w:rPr>
          <w:color w:val="000000"/>
        </w:rPr>
        <w:t>“</w:t>
      </w:r>
      <w:r>
        <w:rPr>
          <w:rFonts w:ascii="Times New Roman" w:hAnsi="Times New Roman"/>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240" w:after="283"/>
        <w:jc w:val="both"/>
        <w:rPr/>
      </w:pPr>
      <w:bookmarkStart w:id="67" w:name="xbhc_act_affiliate__of_a_party_shall_mea"/>
      <w:bookmarkEnd w:id="67"/>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shall mean an “affiliate” (as such term is defined under, and interpreted in accordance with, 12 U.S.C. 1841(k)) of such party.</w:t>
      </w:r>
    </w:p>
    <w:p>
      <w:pPr>
        <w:pStyle w:val="TextBody"/>
        <w:bidi w:val="0"/>
        <w:spacing w:before="240" w:after="283"/>
        <w:jc w:val="both"/>
        <w:rPr/>
      </w:pPr>
      <w:bookmarkStart w:id="68" w:name="xborrower__shall_have_the_meaning_set_fo"/>
      <w:bookmarkEnd w:id="68"/>
      <w:r>
        <w:rPr>
          <w:color w:val="000000"/>
        </w:rPr>
        <w:t>“</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shall have the meaning set forth in the introductory paragraph hereof.</w:t>
      </w:r>
    </w:p>
    <w:p>
      <w:pPr>
        <w:pStyle w:val="TextBody"/>
        <w:bidi w:val="0"/>
        <w:spacing w:before="240" w:after="283"/>
        <w:jc w:val="both"/>
        <w:rPr/>
      </w:pPr>
      <w:bookmarkStart w:id="69" w:name="xborrowing__shall_mean_a_borrowing_consi"/>
      <w:bookmarkEnd w:id="69"/>
      <w:r>
        <w:rPr>
          <w:color w:val="000000"/>
        </w:rPr>
        <w:t>“</w:t>
      </w:r>
      <w:r>
        <w:rPr>
          <w:rFonts w:ascii="Times New Roman" w:hAnsi="Times New Roman"/>
          <w:color w:val="000000"/>
          <w:sz w:val="22"/>
          <w:u w:val="single"/>
        </w:rPr>
        <w:t>Borrowing</w:t>
      </w:r>
      <w:r>
        <w:rPr>
          <w:rFonts w:ascii="Times New Roman" w:hAnsi="Times New Roman"/>
          <w:color w:val="000000"/>
          <w:sz w:val="20"/>
        </w:rPr>
        <w:t xml:space="preserve">” </w:t>
      </w:r>
      <w:r>
        <w:rPr>
          <w:rFonts w:ascii="Times New Roman" w:hAnsi="Times New Roman"/>
          <w:color w:val="000000"/>
          <w:sz w:val="22"/>
        </w:rPr>
        <w:t>shall mean a borrowing consisting of (a) Loans of the same Class and Type, made, converted or continued on the same date and in the case of SOFR Loans, as to which a single Interest Period is in effect, or (b) a Swingline Loan.</w:t>
      </w:r>
    </w:p>
    <w:p>
      <w:pPr>
        <w:pStyle w:val="TextBody"/>
        <w:bidi w:val="0"/>
        <w:spacing w:before="240" w:after="283"/>
        <w:jc w:val="both"/>
        <w:rPr/>
      </w:pPr>
      <w:bookmarkStart w:id="70" w:name="xbusiness_day__shall_mean__a__any_day_ot"/>
      <w:bookmarkEnd w:id="70"/>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shall mean (a) any day other than a Saturday, Sunday or other day on which commercial banks in Charlotte, North Carolina or New York, New York are authorized or required by Law to close and (b) if such day relates to a Borrowing of, a payment or prepayment of principal or interest on, a conversion of or into, or an Interest Period for, a SOFR Loan, a determination of Term SOFR or a notice with respect to any of the foregoing, any day that is also a U.S. Government Securities Business Day.</w:t>
      </w:r>
    </w:p>
    <w:p>
      <w:pPr>
        <w:pStyle w:val="TextBody"/>
        <w:bidi w:val="0"/>
        <w:spacing w:before="240" w:after="283"/>
        <w:jc w:val="both"/>
        <w:rPr/>
      </w:pPr>
      <w:bookmarkStart w:id="71" w:name="xcapital_expenditures__shall_mean_for_an"/>
      <w:bookmarkEnd w:id="71"/>
      <w:r>
        <w:rPr>
          <w:color w:val="000000"/>
        </w:rPr>
        <w:t>“</w:t>
      </w:r>
      <w:r>
        <w:rPr>
          <w:rFonts w:ascii="Times New Roman" w:hAnsi="Times New Roman"/>
          <w:color w:val="000000"/>
          <w:sz w:val="22"/>
          <w:u w:val="single"/>
        </w:rPr>
        <w:t>Capital Expenditures</w:t>
      </w:r>
      <w:r>
        <w:rPr>
          <w:rFonts w:ascii="Times New Roman" w:hAnsi="Times New Roman"/>
          <w:color w:val="000000"/>
          <w:sz w:val="20"/>
        </w:rPr>
        <w:t xml:space="preserve">” </w:t>
      </w:r>
      <w:r>
        <w:rPr>
          <w:rFonts w:ascii="Times New Roman" w:hAnsi="Times New Roman"/>
          <w:color w:val="000000"/>
          <w:sz w:val="22"/>
        </w:rPr>
        <w:t>shall mean for any period, without duplication, (a) the additions to property, plant and equipment and other capital expenditures of Holdings and its Subsidiaries that are (or would be) set forth on a consolidated statement of cash flows of Holdings for such period and (b) Capital Lease Obligations incurred by Holdings and its Subsidiaries during such period.</w:t>
      </w:r>
    </w:p>
    <w:p>
      <w:pPr>
        <w:pStyle w:val="TextBody"/>
        <w:bidi w:val="0"/>
        <w:spacing w:before="240" w:after="283"/>
        <w:jc w:val="both"/>
        <w:rPr/>
      </w:pPr>
      <w:bookmarkStart w:id="72" w:name="xcapital_lease_obligations__of_any_perso"/>
      <w:bookmarkEnd w:id="72"/>
      <w:r>
        <w:rPr>
          <w:color w:val="000000"/>
        </w:rPr>
        <w:t>“</w:t>
      </w:r>
      <w:r>
        <w:rPr>
          <w:rFonts w:ascii="Times New Roman" w:hAnsi="Times New Roman"/>
          <w:color w:val="000000"/>
          <w:sz w:val="22"/>
          <w:u w:val="single"/>
        </w:rPr>
        <w:t>Capital Lease Obligations</w:t>
      </w:r>
      <w:r>
        <w:rPr>
          <w:rFonts w:ascii="Times New Roman" w:hAnsi="Times New Roman"/>
          <w:color w:val="000000"/>
          <w:sz w:val="20"/>
        </w:rPr>
        <w:t xml:space="preserve">” </w:t>
      </w:r>
      <w:r>
        <w:rPr>
          <w:rFonts w:ascii="Times New Roman" w:hAnsi="Times New Roman"/>
          <w:color w:val="000000"/>
          <w:sz w:val="22"/>
        </w:rPr>
        <w:t>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before="240" w:after="283"/>
        <w:jc w:val="both"/>
        <w:rPr/>
      </w:pPr>
      <w:bookmarkStart w:id="73" w:name="xcapital_stock__shall_mean_all_shares__o"/>
      <w:bookmarkEnd w:id="73"/>
      <w:r>
        <w:rPr>
          <w:color w:val="000000"/>
        </w:rPr>
        <w:t>“</w:t>
      </w:r>
      <w:r>
        <w:rPr>
          <w:rFonts w:ascii="Times New Roman" w:hAnsi="Times New Roman"/>
          <w:color w:val="000000"/>
          <w:sz w:val="22"/>
          <w:u w:val="single"/>
        </w:rPr>
        <w:t>Capital Stock</w:t>
      </w:r>
      <w:r>
        <w:rPr>
          <w:rFonts w:ascii="Times New Roman" w:hAnsi="Times New Roman"/>
          <w:color w:val="000000"/>
          <w:sz w:val="20"/>
        </w:rPr>
        <w:t xml:space="preserve">” </w:t>
      </w:r>
      <w:r>
        <w:rPr>
          <w:rFonts w:ascii="Times New Roman" w:hAnsi="Times New Roman"/>
          <w:color w:val="000000"/>
          <w:sz w:val="22"/>
        </w:rPr>
        <w:t xml:space="preserve">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 under the Securities Exchange Act of 1934);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Capital Stock shall exclude debt securities and other Indebtedness convertible into or exchangeable for any of the foregoing at any time prior to such conversion or exchange.</w:t>
      </w:r>
    </w:p>
    <w:p>
      <w:pPr>
        <w:pStyle w:val="TextBody"/>
        <w:bidi w:val="0"/>
        <w:spacing w:before="240" w:after="283"/>
        <w:jc w:val="both"/>
        <w:rPr/>
      </w:pPr>
      <w:bookmarkStart w:id="74" w:name="xcash_collateralize__shall_mean__in_resp"/>
      <w:bookmarkEnd w:id="74"/>
      <w:r>
        <w:rPr>
          <w:color w:val="000000"/>
        </w:rPr>
        <w:t>“</w:t>
      </w:r>
      <w:r>
        <w:rPr>
          <w:rFonts w:ascii="Times New Roman" w:hAnsi="Times New Roman"/>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shall mean, in respect of any obligations, to provide and pledge (as a first priority perfected security interest) cash collateral for such obligations in Dollars, to the Administrative Agent pursuant to documentation in form and substance, reasonably satisfactory to the Administrative Agent (and “</w:t>
      </w:r>
      <w:r>
        <w:rPr>
          <w:rFonts w:ascii="Times New Roman" w:hAnsi="Times New Roman"/>
          <w:color w:val="000000"/>
          <w:sz w:val="22"/>
          <w:u w:val="single"/>
        </w:rPr>
        <w:t>Cash Collateralization</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Cash Collateral</w:t>
      </w:r>
      <w:r>
        <w:rPr>
          <w:rFonts w:ascii="Times New Roman" w:hAnsi="Times New Roman"/>
          <w:color w:val="000000"/>
          <w:sz w:val="20"/>
        </w:rPr>
        <w:t xml:space="preserve">” </w:t>
      </w:r>
      <w:r>
        <w:rPr>
          <w:rFonts w:ascii="Times New Roman" w:hAnsi="Times New Roman"/>
          <w:color w:val="000000"/>
          <w:sz w:val="22"/>
        </w:rPr>
        <w:t>have a corresponding meaning).</w:t>
      </w:r>
    </w:p>
    <w:p>
      <w:pPr>
        <w:pStyle w:val="TextBody"/>
        <w:bidi w:val="0"/>
        <w:spacing w:before="240" w:after="283"/>
        <w:jc w:val="both"/>
        <w:rPr/>
      </w:pPr>
      <w:bookmarkStart w:id="75" w:name="xcash_equivalents__shall_mean_"/>
      <w:bookmarkEnd w:id="75"/>
      <w:r>
        <w:rPr>
          <w:color w:val="000000"/>
        </w:rPr>
        <w:t>“</w:t>
      </w:r>
      <w:r>
        <w:rPr>
          <w:rFonts w:ascii="Times New Roman" w:hAnsi="Times New Roman"/>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shall mean: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commercial paper having the highest rating, at the time of acquisition thereof, of S&amp;P or Moody’s and in either case maturing within six months from the date of acquisition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certificates of deposit, bankers’ acceptances and time deposits maturing within 180 days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fully collateralized repurchase agreements with a term of not more than 30 days for securities described in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above and entered into with a financial institution satisfying the criteria described in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above;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mutual funds investing solely in any one or more of the Cash Equivalents described in </w:t>
      </w:r>
      <w:r>
        <w:rPr>
          <w:rFonts w:ascii="Times New Roman" w:hAnsi="Times New Roman"/>
          <w:color w:val="000000"/>
          <w:sz w:val="22"/>
          <w:u w:val="single"/>
        </w:rPr>
        <w:t>clauses (a)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(d)</w:t>
      </w:r>
      <w:r>
        <w:rPr>
          <w:color w:val="000000"/>
        </w:rPr>
        <w:t xml:space="preserve"> </w:t>
      </w:r>
      <w:r>
        <w:rPr>
          <w:rFonts w:ascii="Times New Roman" w:hAnsi="Times New Roman"/>
          <w:color w:val="000000"/>
          <w:sz w:val="22"/>
        </w:rPr>
        <w:t>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76" w:name="xcfc__shall_mean_a__controlled_foreign_c"/>
      <w:bookmarkEnd w:id="76"/>
      <w:r>
        <w:rPr>
          <w:color w:val="000000"/>
        </w:rPr>
        <w:t>“</w:t>
      </w:r>
      <w:r>
        <w:rPr>
          <w:rFonts w:ascii="Times New Roman" w:hAnsi="Times New Roman"/>
          <w:color w:val="000000"/>
          <w:sz w:val="22"/>
          <w:u w:val="single"/>
        </w:rPr>
        <w:t>CFC</w:t>
      </w:r>
      <w:r>
        <w:rPr>
          <w:rFonts w:ascii="Times New Roman" w:hAnsi="Times New Roman"/>
          <w:color w:val="000000"/>
          <w:sz w:val="20"/>
        </w:rPr>
        <w:t xml:space="preserve">” </w:t>
      </w:r>
      <w:r>
        <w:rPr>
          <w:rFonts w:ascii="Times New Roman" w:hAnsi="Times New Roman"/>
          <w:color w:val="000000"/>
          <w:sz w:val="22"/>
        </w:rPr>
        <w:t>shall mean a “controlled foreign corporation” within the meaning of Section 957 of the Code.</w:t>
      </w:r>
    </w:p>
    <w:p>
      <w:pPr>
        <w:pStyle w:val="TextBody"/>
        <w:bidi w:val="0"/>
        <w:spacing w:before="240" w:after="283"/>
        <w:jc w:val="both"/>
        <w:rPr/>
      </w:pPr>
      <w:bookmarkStart w:id="77" w:name="xchange_in_control__shall_mean_the_occur"/>
      <w:bookmarkEnd w:id="77"/>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shall mean the occurrence of one or more of the following events: (a) any sale, lease, exchange or other transfer (in a single transaction or a series of related transactions) of all or substantially all of the assets of Holdings and its Subsidiaries on a consolidated basis to any Person or “group” (within the meaning of the Securities Exchange Act of 1934 and the rules of the SEC thereunder in effect on the date hereof) other than Holdings or any of its Subsidiaries, (b) the acquisition of ownership, directly or indirectly, beneficially or of record, by any Person or “group” (within the meaning of the Securities Exchange Act of 1934 and the rules of the SEC thereunder as in effect on the date hereof) of 35% or more of the outstanding shares of the voting stock of Holdings, (c) during any period of 12 consecutive months, a majority of the members of the board of directors or other equivalent governing body of the Borrower cease to be composed of individuals who that are Continuing Directors or (d) Holdings shall cease to directly own 100% of the outstanding shares of stock of the Borrower.</w:t>
      </w:r>
    </w:p>
    <w:p>
      <w:pPr>
        <w:pStyle w:val="TextBody"/>
        <w:bidi w:val="0"/>
        <w:spacing w:before="240" w:after="283"/>
        <w:jc w:val="both"/>
        <w:rPr/>
      </w:pPr>
      <w:bookmarkStart w:id="78" w:name="xchange_in_law__shall_mean_the_occurrenc"/>
      <w:bookmarkEnd w:id="78"/>
      <w:r>
        <w:rPr>
          <w:color w:val="000000"/>
        </w:rPr>
        <w:t>“</w:t>
      </w:r>
      <w:r>
        <w:rPr>
          <w:rFonts w:ascii="Times New Roman" w:hAnsi="Times New Roman"/>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 xml:space="preserve">shall mean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anything herein to the contrary,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240" w:after="283"/>
        <w:jc w:val="both"/>
        <w:rPr/>
      </w:pPr>
      <w:bookmarkStart w:id="79" w:name="xclass___when_used_in_reference_to_any_l"/>
      <w:bookmarkEnd w:id="79"/>
      <w:r>
        <w:rPr>
          <w:color w:val="000000"/>
        </w:rPr>
        <w:t>“</w:t>
      </w:r>
      <w:r>
        <w:rPr>
          <w:rFonts w:ascii="Times New Roman" w:hAnsi="Times New Roman"/>
          <w:color w:val="000000"/>
          <w:sz w:val="22"/>
          <w:u w:val="single"/>
        </w:rPr>
        <w:t>Class</w:t>
      </w:r>
      <w:r>
        <w:rPr>
          <w:rFonts w:ascii="Times New Roman" w:hAnsi="Times New Roman"/>
          <w:color w:val="000000"/>
          <w:sz w:val="20"/>
        </w:rPr>
        <w:t>”</w:t>
      </w:r>
      <w:r>
        <w:rPr>
          <w:rFonts w:ascii="Times New Roman" w:hAnsi="Times New Roman"/>
          <w:color w:val="000000"/>
          <w:sz w:val="22"/>
        </w:rPr>
        <w:t>, when used in reference to any Loan or Borrowing, refers to whether such Loan, or the Loans comprising such Borrowing, are Revolving Loans, Swingline Loans or Term Loans and when used in reference to any Commitment, refers to whether such Commitment is a Revolving Commitment, a Swingline Commitment or a Term Loan Commitment.</w:t>
      </w:r>
    </w:p>
    <w:p>
      <w:pPr>
        <w:pStyle w:val="TextBody"/>
        <w:bidi w:val="0"/>
        <w:spacing w:before="240" w:after="283"/>
        <w:jc w:val="both"/>
        <w:rPr/>
      </w:pPr>
      <w:bookmarkStart w:id="80" w:name="xclosing_date__shall_mean_may_8__2026_"/>
      <w:bookmarkEnd w:id="80"/>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shall mean May 8, 2026.</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81" w:name="xcms__shall_mean_the_centers_for_medicar"/>
      <w:bookmarkEnd w:id="81"/>
      <w:r>
        <w:rPr>
          <w:color w:val="000000"/>
        </w:rPr>
        <w:t>“</w:t>
      </w:r>
      <w:r>
        <w:rPr>
          <w:rFonts w:ascii="Times New Roman" w:hAnsi="Times New Roman"/>
          <w:color w:val="000000"/>
          <w:sz w:val="22"/>
          <w:u w:val="single"/>
        </w:rPr>
        <w:t>CMS</w:t>
      </w:r>
      <w:r>
        <w:rPr>
          <w:rFonts w:ascii="Times New Roman" w:hAnsi="Times New Roman"/>
          <w:color w:val="000000"/>
          <w:sz w:val="20"/>
        </w:rPr>
        <w:t xml:space="preserve">” </w:t>
      </w:r>
      <w:r>
        <w:rPr>
          <w:rFonts w:ascii="Times New Roman" w:hAnsi="Times New Roman"/>
          <w:color w:val="000000"/>
          <w:sz w:val="22"/>
        </w:rPr>
        <w:t>shall mean the Centers for Medicare &amp; Medicaid Services, the federal agency responsible for administering Medicare, Medicaid, SCHIP (State Children’s Health Insurance Program) and other federal health-related programs.</w:t>
      </w:r>
    </w:p>
    <w:p>
      <w:pPr>
        <w:pStyle w:val="TextBody"/>
        <w:bidi w:val="0"/>
        <w:spacing w:before="240" w:after="283"/>
        <w:jc w:val="both"/>
        <w:rPr/>
      </w:pPr>
      <w:bookmarkStart w:id="82" w:name="xcode__shall_mean_the_internal_revenue_c"/>
      <w:bookmarkEnd w:id="82"/>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shall mean the Internal Revenue Code of 1986.</w:t>
      </w:r>
    </w:p>
    <w:p>
      <w:pPr>
        <w:pStyle w:val="TextBody"/>
        <w:bidi w:val="0"/>
        <w:spacing w:before="240" w:after="283"/>
        <w:jc w:val="both"/>
        <w:rPr/>
      </w:pPr>
      <w:bookmarkStart w:id="83" w:name="xcollateral__shall_mean_a_collective_ref"/>
      <w:bookmarkEnd w:id="83"/>
      <w:r>
        <w:rPr>
          <w:color w:val="000000"/>
        </w:rPr>
        <w:t>“</w:t>
      </w:r>
      <w:r>
        <w:rPr>
          <w:rFonts w:ascii="Times New Roman" w:hAnsi="Times New Roman"/>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shall mean a collective reference to all real and personal property with respect to which Liens in favor of the Administrative Agent, for the benefit of itself and the Secured Parties, are purported to be granted pursuant to and in accordance with the terms of the Collateral Documents.</w:t>
      </w:r>
    </w:p>
    <w:p>
      <w:pPr>
        <w:pStyle w:val="TextBody"/>
        <w:bidi w:val="0"/>
        <w:spacing w:before="240" w:after="283"/>
        <w:jc w:val="both"/>
        <w:rPr/>
      </w:pPr>
      <w:bookmarkStart w:id="84" w:name="xcollateral_documents__shall_mean_a_coll"/>
      <w:bookmarkEnd w:id="84"/>
      <w:r>
        <w:rPr>
          <w:color w:val="000000"/>
        </w:rPr>
        <w:t>“</w:t>
      </w:r>
      <w:r>
        <w:rPr>
          <w:rFonts w:ascii="Times New Roman" w:hAnsi="Times New Roman"/>
          <w:color w:val="000000"/>
          <w:sz w:val="22"/>
          <w:u w:val="single"/>
        </w:rPr>
        <w:t>Collateral Documents</w:t>
      </w:r>
      <w:r>
        <w:rPr>
          <w:rFonts w:ascii="Times New Roman" w:hAnsi="Times New Roman"/>
          <w:color w:val="000000"/>
          <w:sz w:val="20"/>
        </w:rPr>
        <w:t xml:space="preserve">” </w:t>
      </w:r>
      <w:r>
        <w:rPr>
          <w:rFonts w:ascii="Times New Roman" w:hAnsi="Times New Roman"/>
          <w:color w:val="000000"/>
          <w:sz w:val="22"/>
        </w:rPr>
        <w:t xml:space="preserve">shall mean a collective reference to the Security Agreement, any Mortgage and any other security documents executed and delivered by any Loan Party pursuant to </w:t>
      </w:r>
      <w:r>
        <w:rPr>
          <w:rFonts w:ascii="Times New Roman" w:hAnsi="Times New Roman"/>
          <w:color w:val="000000"/>
          <w:sz w:val="22"/>
          <w:u w:val="single"/>
        </w:rPr>
        <w:t>Section 5.11</w:t>
      </w:r>
      <w:r>
        <w:rPr>
          <w:rFonts w:ascii="Times New Roman" w:hAnsi="Times New Roman"/>
          <w:color w:val="000000"/>
          <w:sz w:val="22"/>
        </w:rPr>
        <w:t>.</w:t>
      </w:r>
    </w:p>
    <w:p>
      <w:pPr>
        <w:pStyle w:val="TextBody"/>
        <w:bidi w:val="0"/>
        <w:spacing w:before="240" w:after="283"/>
        <w:jc w:val="both"/>
        <w:rPr/>
      </w:pPr>
      <w:bookmarkStart w:id="85" w:name="xcommitment__shall_mean_a_revolving_comm"/>
      <w:bookmarkEnd w:id="85"/>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shall mean a Revolving Commitment, a Swingline Commitment or a Term Loan Commitment or any combination thereof (as the context shall permit or require).</w:t>
      </w:r>
    </w:p>
    <w:p>
      <w:pPr>
        <w:pStyle w:val="TextBody"/>
        <w:bidi w:val="0"/>
        <w:spacing w:before="240" w:after="283"/>
        <w:jc w:val="both"/>
        <w:rPr/>
      </w:pPr>
      <w:bookmarkStart w:id="86" w:name="xcommitment_fee__shall_have_the_meaning_"/>
      <w:bookmarkEnd w:id="86"/>
      <w:r>
        <w:rPr>
          <w:color w:val="000000"/>
        </w:rPr>
        <w:t>“</w:t>
      </w:r>
      <w:r>
        <w:rPr>
          <w:rFonts w:ascii="Times New Roman" w:hAnsi="Times New Roman"/>
          <w:color w:val="000000"/>
          <w:sz w:val="22"/>
          <w:u w:val="single"/>
        </w:rPr>
        <w:t>Commitment Fee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240" w:after="283"/>
        <w:jc w:val="both"/>
        <w:rPr/>
      </w:pPr>
      <w:bookmarkStart w:id="87" w:name="xcommodity_exchange_act__shall_mean_the_"/>
      <w:bookmarkEnd w:id="87"/>
      <w:r>
        <w:rPr>
          <w:color w:val="000000"/>
        </w:rPr>
        <w:t>“</w:t>
      </w:r>
      <w:r>
        <w:rPr>
          <w:rFonts w:ascii="Times New Roman" w:hAnsi="Times New Roman"/>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 xml:space="preserve">shall mean the Commodity Exchange Act (7 U.S.C. § 1 </w:t>
      </w:r>
      <w:r>
        <w:rPr>
          <w:rFonts w:ascii="Times New Roman" w:hAnsi="Times New Roman"/>
          <w:i/>
          <w:color w:val="000000"/>
          <w:sz w:val="22"/>
        </w:rPr>
        <w:t>et seq</w:t>
      </w:r>
      <w:r>
        <w:rPr>
          <w:rFonts w:ascii="Times New Roman" w:hAnsi="Times New Roman"/>
          <w:color w:val="000000"/>
          <w:sz w:val="22"/>
        </w:rPr>
        <w:t>.) and any successor statute.</w:t>
      </w:r>
    </w:p>
    <w:p>
      <w:pPr>
        <w:pStyle w:val="TextBody"/>
        <w:bidi w:val="0"/>
        <w:spacing w:before="240" w:after="283"/>
        <w:jc w:val="both"/>
        <w:rPr/>
      </w:pPr>
      <w:bookmarkStart w:id="88" w:name="xcompliance_certificate__shall_mean_a_ce"/>
      <w:bookmarkEnd w:id="88"/>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shall mean a certificate from the principal executive officer or the principal financial officer of the Borrower in the form of, and containing the certifications set forth in, the certificate attached hereto as </w:t>
      </w:r>
      <w:r>
        <w:rPr>
          <w:rFonts w:ascii="Times New Roman" w:hAnsi="Times New Roman"/>
          <w:color w:val="000000"/>
          <w:sz w:val="22"/>
          <w:u w:val="single"/>
        </w:rPr>
        <w:t>Exhibit 5.1</w:t>
      </w:r>
      <w:r>
        <w:rPr>
          <w:rFonts w:ascii="Times New Roman" w:hAnsi="Times New Roman"/>
          <w:color w:val="000000"/>
          <w:sz w:val="22"/>
        </w:rPr>
        <w:t>.</w:t>
      </w:r>
    </w:p>
    <w:p>
      <w:pPr>
        <w:pStyle w:val="TextBody"/>
        <w:bidi w:val="0"/>
        <w:spacing w:before="240" w:after="283"/>
        <w:jc w:val="both"/>
        <w:rPr/>
      </w:pPr>
      <w:bookmarkStart w:id="89" w:name="xconforming_changes__shall_mean__with_re"/>
      <w:bookmarkEnd w:id="89"/>
      <w:r>
        <w:rPr>
          <w:color w:val="000000"/>
        </w:rPr>
        <w:t>“</w:t>
      </w:r>
      <w:r>
        <w:rPr>
          <w:rFonts w:ascii="Times New Roman" w:hAnsi="Times New Roman"/>
          <w:color w:val="000000"/>
          <w:sz w:val="22"/>
          <w:u w:val="single"/>
        </w:rPr>
        <w:t>Conforming Changes</w:t>
      </w:r>
      <w:r>
        <w:rPr>
          <w:rFonts w:ascii="Times New Roman" w:hAnsi="Times New Roman"/>
          <w:color w:val="000000"/>
          <w:sz w:val="20"/>
        </w:rPr>
        <w:t xml:space="preserve">” </w:t>
      </w:r>
      <w:r>
        <w:rPr>
          <w:rFonts w:ascii="Times New Roman" w:hAnsi="Times New Roman"/>
          <w:color w:val="000000"/>
          <w:sz w:val="22"/>
        </w:rPr>
        <w:t xml:space="preserve">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240" w:after="283"/>
        <w:jc w:val="both"/>
        <w:rPr/>
      </w:pPr>
      <w:bookmarkStart w:id="90" w:name="xconnection_income_taxes__shall_mean_oth"/>
      <w:bookmarkEnd w:id="90"/>
      <w:r>
        <w:rPr>
          <w:color w:val="000000"/>
        </w:rPr>
        <w:t>“</w:t>
      </w:r>
      <w:r>
        <w:rPr>
          <w:rFonts w:ascii="Times New Roman" w:hAnsi="Times New Roman"/>
          <w:color w:val="000000"/>
          <w:sz w:val="22"/>
          <w:u w:val="single"/>
        </w:rPr>
        <w:t>Connection Income Taxes</w:t>
      </w:r>
      <w:r>
        <w:rPr>
          <w:rFonts w:ascii="Times New Roman" w:hAnsi="Times New Roman"/>
          <w:color w:val="000000"/>
          <w:sz w:val="20"/>
        </w:rPr>
        <w:t xml:space="preserve">” </w:t>
      </w:r>
      <w:r>
        <w:rPr>
          <w:rFonts w:ascii="Times New Roman" w:hAnsi="Times New Roman"/>
          <w:color w:val="000000"/>
          <w:sz w:val="22"/>
        </w:rPr>
        <w:t>shall mean Other Connection Taxes that are imposed on or measured by net income (however denominated) or that are franchise Taxes or branch profits Taxes.</w:t>
      </w:r>
    </w:p>
    <w:p>
      <w:pPr>
        <w:pStyle w:val="TextBody"/>
        <w:bidi w:val="0"/>
        <w:spacing w:before="240" w:after="283"/>
        <w:jc w:val="both"/>
        <w:rPr/>
      </w:pPr>
      <w:bookmarkStart w:id="91" w:name="xconsolidated_ebitda__shall_mean__for_ho"/>
      <w:bookmarkEnd w:id="91"/>
      <w:r>
        <w:rPr>
          <w:color w:val="000000"/>
        </w:rPr>
        <w:t>“</w:t>
      </w:r>
      <w:r>
        <w:rPr>
          <w:rFonts w:ascii="Times New Roman" w:hAnsi="Times New Roman"/>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 xml:space="preserve">shall mean, for Holdings and its Subsidiaries for any period, determined on a consolidated basis, an amount equal to the sum of (a) Consolidated Net Income for such period </w:t>
      </w:r>
      <w:r>
        <w:rPr>
          <w:rFonts w:ascii="Times New Roman" w:hAnsi="Times New Roman"/>
          <w:i/>
          <w:color w:val="000000"/>
          <w:sz w:val="22"/>
        </w:rPr>
        <w:t xml:space="preserve">plus </w:t>
      </w:r>
      <w:r>
        <w:rPr>
          <w:rFonts w:ascii="Times New Roman" w:hAnsi="Times New Roman"/>
          <w:color w:val="000000"/>
          <w:sz w:val="22"/>
        </w:rPr>
        <w:t xml:space="preserve">(b) to the extent deducted in, or otherwise reducing, such determination of Consolidated Net Income for such period (other than </w:t>
      </w:r>
      <w:r>
        <w:rPr>
          <w:rFonts w:ascii="Times New Roman" w:hAnsi="Times New Roman"/>
          <w:color w:val="000000"/>
          <w:sz w:val="22"/>
          <w:u w:val="single"/>
        </w:rPr>
        <w:t>clauses (b)(ix)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(b)(xii)</w:t>
      </w:r>
      <w:r>
        <w:rPr>
          <w:rFonts w:ascii="Times New Roman" w:hAnsi="Times New Roman"/>
          <w:color w:val="000000"/>
          <w:sz w:val="20"/>
        </w:rPr>
        <w:t xml:space="preserve"> </w:t>
      </w:r>
      <w:r>
        <w:rPr>
          <w:rFonts w:ascii="Times New Roman" w:hAnsi="Times New Roman"/>
          <w:color w:val="000000"/>
          <w:sz w:val="22"/>
        </w:rPr>
        <w:t>below), without duplication, (i) Consolidated Interest Expense for such period, (ii) the provision for income, franchise, excise and similar taxes for such period, (iii) depreciation and amortization for such period, (iv) all non-cash losses or expenses for such period (excluding any non-cash loss or expense (A) that is an accrual of a reserve for a cash expenditure or payment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to be made, or anticipated to be made, in a future period (including any items which represent the reversal of any reserve for a cash expenditure or payment to be made, or anticipated to be made, that reduced Consolidated EBITDA in any prior period), (B) that represents a cash payment in a prior period or (C) relating to a write-down, write off or reserve with respect to accounts receivable and inventory), (v) all fees and documented out-of-pocket costs and expenses payable or otherwise incurred in connection with this Agreement, the Transactions, any other Indebtedness permitted by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and any amendments, restatements, supplements, extensions, modifications, consents or waivers thereto or refinancings thereof, (vi) all out-of-pocket fees and documented out-of-pocket costs and expenses incurred in connection with a (A) Permitted Acquisition or (B) any other Acquisition or Investment not in the ordinary course of business (including fees, costs and expenses that are reimbursable out of an escrow or similar arrangement in connection with each of the same), (vii) documented fees, costs and expenses incurred in connection with any Asset Sale, issuance of Capital Stock or stock equivalents or Restricted Payment not in the ordinary course of business, (viii) any extraordinary losses or non-recurring reasonable and documented losses and out-of-pocket costs and expenses including severance costs, lease termination costs, relocation costs, restructuring charges, retention or completion bonuses, signing costs and other expenses not otherwise added back to Consolidated EBITDA; </w:t>
      </w:r>
      <w:r>
        <w:rPr>
          <w:rFonts w:ascii="Times New Roman" w:hAnsi="Times New Roman"/>
          <w:color w:val="000000"/>
          <w:sz w:val="22"/>
          <w:u w:val="single"/>
        </w:rPr>
        <w:t>provided</w:t>
      </w:r>
      <w:r>
        <w:rPr>
          <w:rFonts w:ascii="Times New Roman" w:hAnsi="Times New Roman"/>
          <w:color w:val="000000"/>
          <w:sz w:val="22"/>
        </w:rPr>
        <w:t xml:space="preserve">, that the aggregate amount of amounts added back in reliance on this </w:t>
      </w:r>
      <w:r>
        <w:rPr>
          <w:rFonts w:ascii="Times New Roman" w:hAnsi="Times New Roman"/>
          <w:color w:val="000000"/>
          <w:sz w:val="22"/>
          <w:u w:val="single"/>
        </w:rPr>
        <w:t>clause (b)(viii)</w:t>
      </w:r>
      <w:r>
        <w:rPr>
          <w:rFonts w:ascii="Times New Roman" w:hAnsi="Times New Roman"/>
          <w:color w:val="000000"/>
          <w:sz w:val="22"/>
        </w:rPr>
        <w:t xml:space="preserve">, </w:t>
      </w:r>
      <w:r>
        <w:rPr>
          <w:rFonts w:ascii="Times New Roman" w:hAnsi="Times New Roman"/>
          <w:color w:val="000000"/>
          <w:sz w:val="22"/>
          <w:u w:val="single"/>
        </w:rPr>
        <w:t>clause (b)(ix)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(b)(x)</w:t>
      </w:r>
      <w:r>
        <w:rPr>
          <w:rFonts w:ascii="Times New Roman" w:hAnsi="Times New Roman"/>
          <w:color w:val="000000"/>
          <w:sz w:val="20"/>
        </w:rPr>
        <w:t xml:space="preserve"> </w:t>
      </w:r>
      <w:r>
        <w:rPr>
          <w:rFonts w:ascii="Times New Roman" w:hAnsi="Times New Roman"/>
          <w:color w:val="000000"/>
          <w:sz w:val="22"/>
        </w:rPr>
        <w:t xml:space="preserve">shall not exceed twenty-five percent (25.0%) of Consolidated EBITDA in any four (4) consecutive Fiscal Quarter period, calculated before giving effect to any add-back or adjustment pursuant to this </w:t>
      </w:r>
      <w:r>
        <w:rPr>
          <w:rFonts w:ascii="Times New Roman" w:hAnsi="Times New Roman"/>
          <w:color w:val="000000"/>
          <w:sz w:val="22"/>
          <w:u w:val="single"/>
        </w:rPr>
        <w:t>clause</w:t>
      </w:r>
      <w:r>
        <w:rPr>
          <w:rFonts w:ascii="Times New Roman" w:hAnsi="Times New Roman"/>
          <w:color w:val="000000"/>
          <w:sz w:val="20"/>
        </w:rPr>
        <w:t xml:space="preserve"> </w:t>
      </w:r>
      <w:r>
        <w:rPr>
          <w:rFonts w:ascii="Times New Roman" w:hAnsi="Times New Roman"/>
          <w:color w:val="000000"/>
          <w:sz w:val="22"/>
          <w:u w:val="single"/>
        </w:rPr>
        <w:t>(b)(viii)</w:t>
      </w:r>
      <w:r>
        <w:rPr>
          <w:rFonts w:ascii="Times New Roman" w:hAnsi="Times New Roman"/>
          <w:color w:val="000000"/>
          <w:sz w:val="22"/>
        </w:rPr>
        <w:t xml:space="preserve">, </w:t>
      </w:r>
      <w:r>
        <w:rPr>
          <w:rFonts w:ascii="Times New Roman" w:hAnsi="Times New Roman"/>
          <w:color w:val="000000"/>
          <w:sz w:val="22"/>
          <w:u w:val="single"/>
        </w:rPr>
        <w:t>clause (b)(ix)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(b)(x)</w:t>
      </w:r>
      <w:r>
        <w:rPr>
          <w:rFonts w:ascii="Times New Roman" w:hAnsi="Times New Roman"/>
          <w:color w:val="000000"/>
          <w:sz w:val="22"/>
        </w:rPr>
        <w:t xml:space="preserve">, (ix) the amount of “run-rate” cost savings, operating expense reductions and other operating cost improvements, cost saving restructurings, cost synergies and similar cost savings initiatives related to acquisitions, dispositions, restructurings, investments and cost savings initiatives projected by the Borrower in good faith to result from actions that have been taken or with respect to which substantial steps have been taken prior to the last day of such measurement period and benefits realized (in the good faith determination of the Borrower) within eighteen (18) months after the consummation of any such transaction, in each case calculated on a Pro Forma Basis as though such cost savings had been realized on the first day of such period, net of the amount of actual benefits realized from such actions;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aggregate amount of amounts added back in reliance on this </w:t>
      </w:r>
      <w:r>
        <w:rPr>
          <w:rFonts w:ascii="Times New Roman" w:hAnsi="Times New Roman"/>
          <w:color w:val="000000"/>
          <w:sz w:val="22"/>
          <w:u w:val="single"/>
        </w:rPr>
        <w:t>clause</w:t>
      </w:r>
      <w:r>
        <w:rPr>
          <w:rFonts w:ascii="Times New Roman" w:hAnsi="Times New Roman"/>
          <w:color w:val="000000"/>
          <w:sz w:val="20"/>
        </w:rPr>
        <w:t xml:space="preserve"> </w:t>
      </w:r>
      <w:r>
        <w:rPr>
          <w:rFonts w:ascii="Times New Roman" w:hAnsi="Times New Roman"/>
          <w:color w:val="000000"/>
          <w:sz w:val="22"/>
          <w:u w:val="single"/>
        </w:rPr>
        <w:t>(b)(ix)</w:t>
      </w:r>
      <w:r>
        <w:rPr>
          <w:rFonts w:ascii="Times New Roman" w:hAnsi="Times New Roman"/>
          <w:color w:val="000000"/>
          <w:sz w:val="22"/>
        </w:rPr>
        <w:t xml:space="preserve">, </w:t>
      </w:r>
      <w:r>
        <w:rPr>
          <w:rFonts w:ascii="Times New Roman" w:hAnsi="Times New Roman"/>
          <w:color w:val="000000"/>
          <w:sz w:val="22"/>
          <w:u w:val="single"/>
        </w:rPr>
        <w:t>clause (b)(viii)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(b)(x)</w:t>
      </w:r>
      <w:r>
        <w:rPr>
          <w:rFonts w:ascii="Times New Roman" w:hAnsi="Times New Roman"/>
          <w:color w:val="000000"/>
          <w:sz w:val="20"/>
        </w:rPr>
        <w:t xml:space="preserve"> </w:t>
      </w:r>
      <w:r>
        <w:rPr>
          <w:rFonts w:ascii="Times New Roman" w:hAnsi="Times New Roman"/>
          <w:color w:val="000000"/>
          <w:sz w:val="22"/>
        </w:rPr>
        <w:t xml:space="preserve">shall not exceed twenty-five percent (25.0%) of Consolidated EBITDA in any four (4) consecutive Fiscal Quarter period, calculated before giving effect to any add-back or adjustment pursuant to this </w:t>
      </w:r>
      <w:r>
        <w:rPr>
          <w:rFonts w:ascii="Times New Roman" w:hAnsi="Times New Roman"/>
          <w:color w:val="000000"/>
          <w:sz w:val="22"/>
          <w:u w:val="single"/>
        </w:rPr>
        <w:t>clause (b)(ix)</w:t>
      </w:r>
      <w:r>
        <w:rPr>
          <w:rFonts w:ascii="Times New Roman" w:hAnsi="Times New Roman"/>
          <w:color w:val="000000"/>
          <w:sz w:val="22"/>
        </w:rPr>
        <w:t xml:space="preserve">, </w:t>
      </w:r>
      <w:r>
        <w:rPr>
          <w:rFonts w:ascii="Times New Roman" w:hAnsi="Times New Roman"/>
          <w:color w:val="000000"/>
          <w:sz w:val="22"/>
          <w:u w:val="single"/>
        </w:rPr>
        <w:t>clause (b)(viii)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(b)(x)</w:t>
      </w:r>
      <w:r>
        <w:rPr>
          <w:rFonts w:ascii="Times New Roman" w:hAnsi="Times New Roman"/>
          <w:color w:val="000000"/>
          <w:sz w:val="22"/>
        </w:rPr>
        <w:t xml:space="preserve">, (x) any items that would be permitted to be included in pro forma adjustments contained in financial statements prepared in accordance with Regulation S-X;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aggregate amount of amounts added back in reliance on this </w:t>
      </w:r>
      <w:r>
        <w:rPr>
          <w:rFonts w:ascii="Times New Roman" w:hAnsi="Times New Roman"/>
          <w:color w:val="000000"/>
          <w:sz w:val="22"/>
          <w:u w:val="single"/>
        </w:rPr>
        <w:t>clause (b)(x)</w:t>
      </w:r>
      <w:r>
        <w:rPr>
          <w:rFonts w:ascii="Times New Roman" w:hAnsi="Times New Roman"/>
          <w:color w:val="000000"/>
          <w:sz w:val="22"/>
        </w:rPr>
        <w:t xml:space="preserve">, </w:t>
      </w:r>
      <w:r>
        <w:rPr>
          <w:rFonts w:ascii="Times New Roman" w:hAnsi="Times New Roman"/>
          <w:color w:val="000000"/>
          <w:sz w:val="22"/>
          <w:u w:val="single"/>
        </w:rPr>
        <w:t>clause (b)(viii)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(b)(ix)</w:t>
      </w:r>
      <w:r>
        <w:rPr>
          <w:rFonts w:ascii="Times New Roman" w:hAnsi="Times New Roman"/>
          <w:color w:val="000000"/>
          <w:sz w:val="20"/>
        </w:rPr>
        <w:t xml:space="preserve"> </w:t>
      </w:r>
      <w:r>
        <w:rPr>
          <w:rFonts w:ascii="Times New Roman" w:hAnsi="Times New Roman"/>
          <w:color w:val="000000"/>
          <w:sz w:val="22"/>
        </w:rPr>
        <w:t xml:space="preserve">shall not exceed twenty-five percent (25.0%) of Consolidated EBITDA in any four (4) consecutive Fiscal Quarter period, calculated before giving effect to any add-back or adjustment pursuant to this </w:t>
      </w:r>
      <w:r>
        <w:rPr>
          <w:rFonts w:ascii="Times New Roman" w:hAnsi="Times New Roman"/>
          <w:color w:val="000000"/>
          <w:sz w:val="22"/>
          <w:u w:val="single"/>
        </w:rPr>
        <w:t>clause (b)(x)</w:t>
      </w:r>
      <w:r>
        <w:rPr>
          <w:rFonts w:ascii="Times New Roman" w:hAnsi="Times New Roman"/>
          <w:color w:val="000000"/>
          <w:sz w:val="22"/>
        </w:rPr>
        <w:t xml:space="preserve">, </w:t>
      </w:r>
      <w:r>
        <w:rPr>
          <w:rFonts w:ascii="Times New Roman" w:hAnsi="Times New Roman"/>
          <w:color w:val="000000"/>
          <w:sz w:val="22"/>
          <w:u w:val="single"/>
        </w:rPr>
        <w:t>clause (b)(viii)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(b)(ix)</w:t>
      </w:r>
      <w:r>
        <w:rPr>
          <w:rFonts w:ascii="Times New Roman" w:hAnsi="Times New Roman"/>
          <w:color w:val="000000"/>
          <w:sz w:val="22"/>
        </w:rPr>
        <w:t xml:space="preserve">, (xi) other accruals, fees, payments and expenses (including rationalization, legal, tax, structuring and other costs and expenses), or any amortization thereof, related to the Transactions (including all Transaction Costs), (xii) to the extent actually received in such period and not already included in Consolidated Net Income, proceeds of business interruption insurance in an amount representing the earnings for the applicable period that such proceeds are intended to replace, (xiii) Earnout Obligations (A) in connection with any Permitted Acquisition or Investment permitted by </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 xml:space="preserve">and (B) to the extent paid, incurred or accrued (without duplication of any such payment, incurrence or accrual) during such period to the extent such Earnout Obligations are deducted from the calculation of Consolidated Net Income, (xiv) any charges, expenses or losses from (or incurred in connection with) disposed, abandoned or discontinued operations or product lines and (xv) fees, indemnifications and reimbursement of expenses of directors, managers or members of Holdings or Holdings’ direct or indirect parent entity </w:t>
      </w:r>
      <w:r>
        <w:rPr>
          <w:rFonts w:ascii="Times New Roman" w:hAnsi="Times New Roman"/>
          <w:i/>
          <w:color w:val="000000"/>
          <w:sz w:val="22"/>
        </w:rPr>
        <w:t xml:space="preserve">minus </w:t>
      </w:r>
      <w:r>
        <w:rPr>
          <w:rFonts w:ascii="Times New Roman" w:hAnsi="Times New Roman"/>
          <w:color w:val="000000"/>
          <w:sz w:val="22"/>
        </w:rPr>
        <w:t>(c) to the extent included in determining Consolidated Net Income for such period, without duplication, (i) non-cash income or gains (excluding any non-cash income or gain to the extent it represents the reversal of an accrual or reserve for a potential cash item that reduced Consolidated Net Income or Consolidated EBITDA in any prior period and was not previously added back to Consolidated EBITDA in any prior period), (ii) any gains realized in connection with the undertaking or implementation of restructurings and other events and/or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actions described in </w:t>
      </w:r>
      <w:r>
        <w:rPr>
          <w:rFonts w:ascii="Times New Roman" w:hAnsi="Times New Roman"/>
          <w:color w:val="000000"/>
          <w:sz w:val="22"/>
          <w:u w:val="single"/>
        </w:rPr>
        <w:t>clause (b)(ix)</w:t>
      </w:r>
      <w:r>
        <w:rPr>
          <w:rFonts w:ascii="Times New Roman" w:hAnsi="Times New Roman"/>
          <w:color w:val="000000"/>
          <w:sz w:val="22"/>
        </w:rPr>
        <w:t xml:space="preserve">, (iii) any cash payment made in such period in respect of any non-cash charge in a prior period that represented an accrual or reserve for such cash payment and was added to Consolidated EBITDA pursuant to the preceding </w:t>
      </w:r>
      <w:r>
        <w:rPr>
          <w:rFonts w:ascii="Times New Roman" w:hAnsi="Times New Roman"/>
          <w:color w:val="000000"/>
          <w:sz w:val="22"/>
          <w:u w:val="single"/>
        </w:rPr>
        <w:t>clauses (b)(iv)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(b)(viii)</w:t>
      </w:r>
      <w:r>
        <w:rPr>
          <w:rFonts w:ascii="Times New Roman" w:hAnsi="Times New Roman"/>
          <w:color w:val="000000"/>
          <w:sz w:val="20"/>
        </w:rPr>
        <w:t xml:space="preserve"> </w:t>
      </w:r>
      <w:r>
        <w:rPr>
          <w:rFonts w:ascii="Times New Roman" w:hAnsi="Times New Roman"/>
          <w:color w:val="000000"/>
          <w:sz w:val="22"/>
        </w:rPr>
        <w:t>in calculating Consolidated EBITDA for such prior period, (iv) any income or gains resulting from disposed, abandoned or discontinued operations or product lines, and (v) any extraordinary gains or non-recurring gains, in each case, to the extent that such gains are realized in cash during such period.</w:t>
      </w:r>
    </w:p>
    <w:p>
      <w:pPr>
        <w:pStyle w:val="TextBody"/>
        <w:bidi w:val="0"/>
        <w:spacing w:before="240" w:after="283"/>
        <w:jc w:val="both"/>
        <w:rPr/>
      </w:pPr>
      <w:bookmarkStart w:id="92" w:name="xconsolidated_fixed_charge_coverage_rati"/>
      <w:bookmarkEnd w:id="92"/>
      <w:r>
        <w:rPr>
          <w:color w:val="000000"/>
        </w:rPr>
        <w:t>“</w:t>
      </w:r>
      <w:r>
        <w:rPr>
          <w:rFonts w:ascii="Times New Roman" w:hAnsi="Times New Roman"/>
          <w:color w:val="000000"/>
          <w:sz w:val="22"/>
          <w:u w:val="single"/>
        </w:rPr>
        <w:t>Consolidated Fixed Charge Coverage Ratio</w:t>
      </w:r>
      <w:r>
        <w:rPr>
          <w:rFonts w:ascii="Times New Roman" w:hAnsi="Times New Roman"/>
          <w:color w:val="000000"/>
          <w:sz w:val="20"/>
        </w:rPr>
        <w:t xml:space="preserve">” </w:t>
      </w:r>
      <w:r>
        <w:rPr>
          <w:rFonts w:ascii="Times New Roman" w:hAnsi="Times New Roman"/>
          <w:color w:val="000000"/>
          <w:sz w:val="22"/>
        </w:rPr>
        <w:t xml:space="preserve">shall mean, as of any date, the ratio of (a) (i) Consolidated EBITDA </w:t>
      </w:r>
      <w:r>
        <w:rPr>
          <w:rFonts w:ascii="Times New Roman" w:hAnsi="Times New Roman"/>
          <w:i/>
          <w:color w:val="000000"/>
          <w:sz w:val="22"/>
        </w:rPr>
        <w:t xml:space="preserve">less </w:t>
      </w:r>
      <w:r>
        <w:rPr>
          <w:rFonts w:ascii="Times New Roman" w:hAnsi="Times New Roman"/>
          <w:color w:val="000000"/>
          <w:sz w:val="22"/>
        </w:rPr>
        <w:t xml:space="preserve">(ii) Capital Expenditures (excluding that portion of Capital Expenditures financed under capital leases or long term, non-revolving Indebtedness of Holdings and its Subsidiaries) </w:t>
      </w:r>
      <w:r>
        <w:rPr>
          <w:rFonts w:ascii="Times New Roman" w:hAnsi="Times New Roman"/>
          <w:i/>
          <w:color w:val="000000"/>
          <w:sz w:val="22"/>
        </w:rPr>
        <w:t xml:space="preserve">less </w:t>
      </w:r>
      <w:r>
        <w:rPr>
          <w:rFonts w:ascii="Times New Roman" w:hAnsi="Times New Roman"/>
          <w:color w:val="000000"/>
          <w:sz w:val="22"/>
        </w:rPr>
        <w:t xml:space="preserve">(iii) Permitted Tax Distributions </w:t>
      </w:r>
      <w:r>
        <w:rPr>
          <w:rFonts w:ascii="Times New Roman" w:hAnsi="Times New Roman"/>
          <w:i/>
          <w:color w:val="000000"/>
          <w:sz w:val="22"/>
        </w:rPr>
        <w:t xml:space="preserve">less </w:t>
      </w:r>
      <w:r>
        <w:rPr>
          <w:rFonts w:ascii="Times New Roman" w:hAnsi="Times New Roman"/>
          <w:color w:val="000000"/>
          <w:sz w:val="22"/>
        </w:rPr>
        <w:t>(iv) without duplication of clause (a)(iii), all franchise taxes, excise taxes and taxes on or measured by income, profits or capital to (b) Consolidated Fixed Charges, in each case measured on a consolidated basis as of the last day of the period of four (4) Fiscal Quarters most recently ended.</w:t>
      </w:r>
    </w:p>
    <w:p>
      <w:pPr>
        <w:pStyle w:val="TextBody"/>
        <w:bidi w:val="0"/>
        <w:spacing w:before="240" w:after="283"/>
        <w:jc w:val="both"/>
        <w:rPr/>
      </w:pPr>
      <w:bookmarkStart w:id="93" w:name="xconsolidated_fixed_charges__shall_mean_"/>
      <w:bookmarkEnd w:id="93"/>
      <w:r>
        <w:rPr>
          <w:color w:val="000000"/>
        </w:rPr>
        <w:t>“</w:t>
      </w:r>
      <w:r>
        <w:rPr>
          <w:rFonts w:ascii="Times New Roman" w:hAnsi="Times New Roman"/>
          <w:color w:val="000000"/>
          <w:sz w:val="22"/>
          <w:u w:val="single"/>
        </w:rPr>
        <w:t>Consolidated Fixed Charges</w:t>
      </w:r>
      <w:r>
        <w:rPr>
          <w:rFonts w:ascii="Times New Roman" w:hAnsi="Times New Roman"/>
          <w:color w:val="000000"/>
          <w:sz w:val="20"/>
        </w:rPr>
        <w:t xml:space="preserve">” </w:t>
      </w:r>
      <w:r>
        <w:rPr>
          <w:rFonts w:ascii="Times New Roman" w:hAnsi="Times New Roman"/>
          <w:color w:val="000000"/>
          <w:sz w:val="22"/>
        </w:rPr>
        <w:t xml:space="preserve">shall mean, for Holdings and its Subsidiaries for any period, the sum, without duplication, of (a) the cash portion of Consolidated Interest Expense (less the cash portion of any interest earned during such period) </w:t>
      </w:r>
      <w:r>
        <w:rPr>
          <w:rFonts w:ascii="Times New Roman" w:hAnsi="Times New Roman"/>
          <w:i/>
          <w:color w:val="000000"/>
          <w:sz w:val="22"/>
        </w:rPr>
        <w:t xml:space="preserve">plus </w:t>
      </w:r>
      <w:r>
        <w:rPr>
          <w:rFonts w:ascii="Times New Roman" w:hAnsi="Times New Roman"/>
          <w:color w:val="000000"/>
          <w:sz w:val="22"/>
        </w:rPr>
        <w:t xml:space="preserve">(b) regularly scheduled principal payments made with respect to Consolidated Total Debt during such period (excluding, for the avoidance of doubt, (i) mandatory prepayments made pursuant to </w:t>
      </w:r>
      <w:r>
        <w:rPr>
          <w:rFonts w:ascii="Times New Roman" w:hAnsi="Times New Roman"/>
          <w:color w:val="000000"/>
          <w:sz w:val="22"/>
          <w:u w:val="single"/>
        </w:rPr>
        <w:t>Section 2.12</w:t>
      </w:r>
      <w:r>
        <w:rPr>
          <w:rFonts w:ascii="Times New Roman" w:hAnsi="Times New Roman"/>
          <w:color w:val="000000"/>
          <w:sz w:val="22"/>
        </w:rPr>
        <w:t>, (ii) payments on revolving loans (including, without limitation, Revolving Loans) to the extent not resulting in a commitment reduction, (iii) payments of intercompany Indebtedness between Holdings and its Subsidiaries, and (iv) payments for repurchases of Capital Stock in the Parent pursuant to the Donovitz Settlement Agreement or the Marci Settlement Agreement permitted by Section 7.5(d) of the Existing Credit Agreement) and/or Capital Lease Obligations paid in cash by Holdings and its Subsidiaries during such period, in each case measured on a consolidated basis for the period of four (4) Fiscal Quarters most recently ended. For purposes of this definition, “</w:t>
      </w:r>
      <w:r>
        <w:rPr>
          <w:rFonts w:ascii="Times New Roman" w:hAnsi="Times New Roman"/>
          <w:i/>
          <w:color w:val="000000"/>
          <w:sz w:val="22"/>
          <w:u w:val="single"/>
        </w:rPr>
        <w:t>scheduled payments of principal</w:t>
      </w:r>
      <w:r>
        <w:rPr>
          <w:rFonts w:ascii="Times New Roman" w:hAnsi="Times New Roman"/>
          <w:color w:val="000000"/>
          <w:sz w:val="20"/>
        </w:rPr>
        <w:t xml:space="preserve">” </w:t>
      </w:r>
      <w:r>
        <w:rPr>
          <w:rFonts w:ascii="Times New Roman" w:hAnsi="Times New Roman"/>
          <w:color w:val="000000"/>
          <w:sz w:val="22"/>
        </w:rPr>
        <w:t xml:space="preserve">shall: (x) be determined without giving effect to any reduction of such scheduled payments resulting from the application of any voluntary prepayments or mandatory prepayments made during the applicable period; (y) be deemed to </w:t>
      </w:r>
      <w:r>
        <w:rPr>
          <w:rFonts w:ascii="Times New Roman" w:hAnsi="Times New Roman"/>
          <w:i/>
          <w:color w:val="000000"/>
          <w:sz w:val="22"/>
        </w:rPr>
        <w:t xml:space="preserve">include </w:t>
      </w:r>
      <w:r>
        <w:rPr>
          <w:rFonts w:ascii="Times New Roman" w:hAnsi="Times New Roman"/>
          <w:color w:val="000000"/>
          <w:sz w:val="22"/>
        </w:rPr>
        <w:t xml:space="preserve">payments with respect to the attributable principal amount in respect of capital leases, securitization transactions, sale and leaseback transactions and synthetic leases; and (z) </w:t>
      </w:r>
      <w:r>
        <w:rPr>
          <w:rFonts w:ascii="Times New Roman" w:hAnsi="Times New Roman"/>
          <w:i/>
          <w:color w:val="000000"/>
          <w:sz w:val="22"/>
        </w:rPr>
        <w:t xml:space="preserve">not </w:t>
      </w:r>
      <w:r>
        <w:rPr>
          <w:rFonts w:ascii="Times New Roman" w:hAnsi="Times New Roman"/>
          <w:color w:val="000000"/>
          <w:sz w:val="22"/>
        </w:rPr>
        <w:t xml:space="preserve">include any voluntary prepayments or mandatory prepayments required pursuant to </w:t>
      </w:r>
      <w:r>
        <w:rPr>
          <w:rFonts w:ascii="Times New Roman" w:hAnsi="Times New Roman"/>
          <w:color w:val="000000"/>
          <w:sz w:val="22"/>
          <w:u w:val="single"/>
        </w:rPr>
        <w:t>Sections 2.11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2.12</w:t>
      </w:r>
      <w:r>
        <w:rPr>
          <w:rFonts w:ascii="Times New Roman" w:hAnsi="Times New Roman"/>
          <w:color w:val="000000"/>
          <w:sz w:val="22"/>
        </w:rPr>
        <w:t>.</w:t>
      </w:r>
    </w:p>
    <w:p>
      <w:pPr>
        <w:pStyle w:val="TextBody"/>
        <w:bidi w:val="0"/>
        <w:spacing w:before="240" w:after="283"/>
        <w:jc w:val="both"/>
        <w:rPr/>
      </w:pPr>
      <w:bookmarkStart w:id="94" w:name="xconsolidated_interest_expense__shall_me"/>
      <w:bookmarkEnd w:id="94"/>
      <w:r>
        <w:rPr>
          <w:color w:val="000000"/>
        </w:rPr>
        <w:t>“</w:t>
      </w:r>
      <w:r>
        <w:rPr>
          <w:rFonts w:ascii="Times New Roman" w:hAnsi="Times New Roman"/>
          <w:color w:val="000000"/>
          <w:sz w:val="22"/>
          <w:u w:val="single"/>
        </w:rPr>
        <w:t>Consolidated Interest Expense</w:t>
      </w:r>
      <w:r>
        <w:rPr>
          <w:rFonts w:ascii="Times New Roman" w:hAnsi="Times New Roman"/>
          <w:color w:val="000000"/>
          <w:sz w:val="20"/>
        </w:rPr>
        <w:t xml:space="preserve">” </w:t>
      </w:r>
      <w:r>
        <w:rPr>
          <w:rFonts w:ascii="Times New Roman" w:hAnsi="Times New Roman"/>
          <w:color w:val="000000"/>
          <w:sz w:val="22"/>
        </w:rPr>
        <w:t xml:space="preserve">shall mean, for Holdings and its Subsidiaries for any period determined on a consolidated basis, the sum of (a) total interest expense, including, without limitation, (i) the interest component of any payments in respect of Capital Lease Obligations capitalized or expensed during such period (whether or not actually paid during such period) and (ii) debt discount or premium and other financing fees and expenses and other similar items </w:t>
      </w:r>
      <w:r>
        <w:rPr>
          <w:rFonts w:ascii="Times New Roman" w:hAnsi="Times New Roman"/>
          <w:i/>
          <w:color w:val="000000"/>
          <w:sz w:val="22"/>
        </w:rPr>
        <w:t xml:space="preserve">plus </w:t>
      </w:r>
      <w:r>
        <w:rPr>
          <w:rFonts w:ascii="Times New Roman" w:hAnsi="Times New Roman"/>
          <w:color w:val="000000"/>
          <w:sz w:val="22"/>
        </w:rPr>
        <w:t xml:space="preserve">(b) the net amount payable (or </w:t>
      </w:r>
      <w:r>
        <w:rPr>
          <w:rFonts w:ascii="Times New Roman" w:hAnsi="Times New Roman"/>
          <w:i/>
          <w:color w:val="000000"/>
          <w:sz w:val="22"/>
        </w:rPr>
        <w:t xml:space="preserve">minus </w:t>
      </w:r>
      <w:r>
        <w:rPr>
          <w:rFonts w:ascii="Times New Roman" w:hAnsi="Times New Roman"/>
          <w:color w:val="000000"/>
          <w:sz w:val="22"/>
        </w:rPr>
        <w:t>the net amount receivable) with respect to Hedging Transactions during such period (whether or not actually paid or received during such period).</w:t>
      </w:r>
    </w:p>
    <w:p>
      <w:pPr>
        <w:pStyle w:val="TextBody"/>
        <w:bidi w:val="0"/>
        <w:spacing w:before="240" w:after="283"/>
        <w:jc w:val="both"/>
        <w:rPr/>
      </w:pPr>
      <w:bookmarkStart w:id="95" w:name="xconsolidated_net_income__shall_mean__fo"/>
      <w:bookmarkEnd w:id="95"/>
      <w:r>
        <w:rPr>
          <w:color w:val="000000"/>
        </w:rPr>
        <w:t>“</w:t>
      </w:r>
      <w:r>
        <w:rPr>
          <w:rFonts w:ascii="Times New Roman" w:hAnsi="Times New Roman"/>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shall mean, for Holdings and its Subsidiaries for any period determined on a consolidated basis, the net income (or loss) of Holdings and its Subsidiaries for such period but excluding therefrom (to the extent otherwise included therein) (a) any unusual and infrequent gains or losses, (b) any gains attributable to write-ups of assets or the sale of assets (other than the sale of inventory in ordinary course of business), (c) any equity interest of the Borrower or any Subsidiary of Holdings in the unremitted earnings of any Person that is not a Subsidiary of Holdings, and (d) any income (or loss) of a Person accrued prior to the date it becomes a Subsidiary of Holdings or is merged into or consolidated with the Borrower or any Subsidiary of Holdings or the date that such Person’s assets are acquired by the Borrower or any Subsidiary of Holdings.</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96" w:name="xconsolidated_total_debt__shall_mean__as"/>
      <w:bookmarkEnd w:id="96"/>
      <w:r>
        <w:rPr>
          <w:color w:val="000000"/>
        </w:rPr>
        <w:t>“</w:t>
      </w:r>
      <w:r>
        <w:rPr>
          <w:rFonts w:ascii="Times New Roman" w:hAnsi="Times New Roman"/>
          <w:color w:val="000000"/>
          <w:sz w:val="22"/>
          <w:u w:val="single"/>
        </w:rPr>
        <w:t>Consolidated Total Debt</w:t>
      </w:r>
      <w:r>
        <w:rPr>
          <w:rFonts w:ascii="Times New Roman" w:hAnsi="Times New Roman"/>
          <w:color w:val="000000"/>
          <w:sz w:val="20"/>
        </w:rPr>
        <w:t xml:space="preserve">” </w:t>
      </w:r>
      <w:r>
        <w:rPr>
          <w:rFonts w:ascii="Times New Roman" w:hAnsi="Times New Roman"/>
          <w:color w:val="000000"/>
          <w:sz w:val="22"/>
        </w:rPr>
        <w:t xml:space="preserve">shall mean, as of any date, all Indebtedness of Holdings and its Subsidiaries measured on a consolidated basis as of such date, but excluding (a) Indebtedness of the type described in </w:t>
      </w:r>
      <w:r>
        <w:rPr>
          <w:rFonts w:ascii="Times New Roman" w:hAnsi="Times New Roman"/>
          <w:color w:val="000000"/>
          <w:sz w:val="22"/>
          <w:u w:val="single"/>
        </w:rPr>
        <w:t>clauses (d)</w:t>
      </w:r>
      <w:r>
        <w:rPr>
          <w:rFonts w:ascii="Times New Roman" w:hAnsi="Times New Roman"/>
          <w:color w:val="000000"/>
          <w:sz w:val="22"/>
        </w:rPr>
        <w:t xml:space="preserve">, </w:t>
      </w:r>
      <w:r>
        <w:rPr>
          <w:rFonts w:ascii="Times New Roman" w:hAnsi="Times New Roman"/>
          <w:color w:val="000000"/>
          <w:sz w:val="22"/>
          <w:u w:val="single"/>
        </w:rPr>
        <w:t>(h)</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(j)</w:t>
      </w:r>
      <w:r>
        <w:rPr>
          <w:rFonts w:ascii="Times New Roman" w:hAnsi="Times New Roman"/>
          <w:color w:val="000000"/>
          <w:sz w:val="20"/>
        </w:rPr>
        <w:t xml:space="preserve"> </w:t>
      </w:r>
      <w:r>
        <w:rPr>
          <w:rFonts w:ascii="Times New Roman" w:hAnsi="Times New Roman"/>
          <w:color w:val="000000"/>
          <w:sz w:val="22"/>
        </w:rPr>
        <w:t xml:space="preserve">(but in the case of clause </w:t>
      </w:r>
      <w:r>
        <w:rPr>
          <w:rFonts w:ascii="Times New Roman" w:hAnsi="Times New Roman"/>
          <w:color w:val="000000"/>
          <w:sz w:val="22"/>
          <w:u w:val="single"/>
        </w:rPr>
        <w:t>(j)</w:t>
      </w:r>
      <w:r>
        <w:rPr>
          <w:rFonts w:ascii="Times New Roman" w:hAnsi="Times New Roman"/>
          <w:color w:val="000000"/>
          <w:sz w:val="20"/>
        </w:rPr>
        <w:t xml:space="preserve"> </w:t>
      </w:r>
      <w:r>
        <w:rPr>
          <w:rFonts w:ascii="Times New Roman" w:hAnsi="Times New Roman"/>
          <w:color w:val="000000"/>
          <w:sz w:val="22"/>
        </w:rPr>
        <w:t xml:space="preserve">only to the extent supporting Indebtedness of the types referred to clauses </w:t>
      </w:r>
      <w:r>
        <w:rPr>
          <w:rFonts w:ascii="Times New Roman" w:hAnsi="Times New Roman"/>
          <w:color w:val="000000"/>
          <w:sz w:val="22"/>
          <w:u w:val="single"/>
        </w:rPr>
        <w:t>(d)</w:t>
      </w:r>
      <w:r>
        <w:rPr>
          <w:rFonts w:ascii="Times New Roman" w:hAnsi="Times New Roman"/>
          <w:color w:val="000000"/>
          <w:sz w:val="22"/>
        </w:rPr>
        <w:t xml:space="preserve">, </w:t>
      </w:r>
      <w:r>
        <w:rPr>
          <w:rFonts w:ascii="Times New Roman" w:hAnsi="Times New Roman"/>
          <w:color w:val="000000"/>
          <w:sz w:val="22"/>
          <w:u w:val="single"/>
        </w:rPr>
        <w:t>(h)</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of the definition thereof) of the definition thereof and (b) any undrawn amounts and drawn amounts reimbursed within one (1) Business Day of the drawing thereof under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of the definition thereof.</w:t>
      </w:r>
    </w:p>
    <w:p>
      <w:pPr>
        <w:pStyle w:val="TextBody"/>
        <w:bidi w:val="0"/>
        <w:spacing w:before="240" w:after="283"/>
        <w:jc w:val="both"/>
        <w:rPr/>
      </w:pPr>
      <w:bookmarkStart w:id="97" w:name="xconsolidated_total_net_leverage_ratio__"/>
      <w:bookmarkEnd w:id="97"/>
      <w:r>
        <w:rPr>
          <w:color w:val="000000"/>
        </w:rPr>
        <w:t>“</w:t>
      </w:r>
      <w:r>
        <w:rPr>
          <w:rFonts w:ascii="Times New Roman" w:hAnsi="Times New Roman"/>
          <w:color w:val="000000"/>
          <w:sz w:val="22"/>
          <w:u w:val="single"/>
        </w:rPr>
        <w:t>Consolidated Total Net Leverage Ratio</w:t>
      </w:r>
      <w:r>
        <w:rPr>
          <w:rFonts w:ascii="Times New Roman" w:hAnsi="Times New Roman"/>
          <w:color w:val="000000"/>
          <w:sz w:val="20"/>
        </w:rPr>
        <w:t xml:space="preserve">” </w:t>
      </w:r>
      <w:r>
        <w:rPr>
          <w:rFonts w:ascii="Times New Roman" w:hAnsi="Times New Roman"/>
          <w:color w:val="000000"/>
          <w:sz w:val="22"/>
        </w:rPr>
        <w:t xml:space="preserve">shall mean, as of any date, the ratio of (a) Consolidated Total Debt as of such date, </w:t>
      </w:r>
      <w:r>
        <w:rPr>
          <w:rFonts w:ascii="Times New Roman" w:hAnsi="Times New Roman"/>
          <w:i/>
          <w:color w:val="000000"/>
          <w:sz w:val="22"/>
        </w:rPr>
        <w:t xml:space="preserve">less </w:t>
      </w:r>
      <w:r>
        <w:rPr>
          <w:rFonts w:ascii="Times New Roman" w:hAnsi="Times New Roman"/>
          <w:color w:val="000000"/>
          <w:sz w:val="22"/>
        </w:rPr>
        <w:t>Unrestricted Cash of Holdings and its Subsidiaries on a consolidated basis that is available as of such date in an aggregate amount not to exceed $40,000,000 to (b) Consolidated EBITDA, measured as of the last day of the period of four (4) Fiscal Quarters most recently ended.</w:t>
      </w:r>
    </w:p>
    <w:p>
      <w:pPr>
        <w:pStyle w:val="TextBody"/>
        <w:bidi w:val="0"/>
        <w:spacing w:before="240" w:after="283"/>
        <w:jc w:val="both"/>
        <w:rPr/>
      </w:pPr>
      <w:bookmarkStart w:id="98" w:name="xcontinuing_director__shall_mean__with_r"/>
      <w:bookmarkEnd w:id="98"/>
      <w:r>
        <w:rPr>
          <w:color w:val="000000"/>
        </w:rPr>
        <w:t>“</w:t>
      </w:r>
      <w:r>
        <w:rPr>
          <w:rFonts w:ascii="Times New Roman" w:hAnsi="Times New Roman"/>
          <w:color w:val="000000"/>
          <w:sz w:val="22"/>
          <w:u w:val="single"/>
        </w:rPr>
        <w:t>Continuing Director</w:t>
      </w:r>
      <w:r>
        <w:rPr>
          <w:rFonts w:ascii="Times New Roman" w:hAnsi="Times New Roman"/>
          <w:color w:val="000000"/>
          <w:sz w:val="20"/>
        </w:rPr>
        <w:t xml:space="preserve">” </w:t>
      </w:r>
      <w:r>
        <w:rPr>
          <w:rFonts w:ascii="Times New Roman" w:hAnsi="Times New Roman"/>
          <w:color w:val="000000"/>
          <w:sz w:val="22"/>
        </w:rPr>
        <w:t xml:space="preserve">shall mean, with respect to any period, any individuals (A) who were members of the board of directors or other equivalent governing body of Holdings on the first day of such period, (B) whose election or nomination to that board or equivalent governing body was approved by individuals referred to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constituting at the time of such election or nomination at least a majority of that board or equivalent governing body, or (C) whose election or nomination to that board or other equivalent governing body was approved by individuals referred to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constituting at the time of such election or nomination at least a majority of that board or equivalent governing body.</w:t>
      </w:r>
    </w:p>
    <w:p>
      <w:pPr>
        <w:pStyle w:val="TextBody"/>
        <w:bidi w:val="0"/>
        <w:spacing w:before="240" w:after="283"/>
        <w:jc w:val="both"/>
        <w:rPr/>
      </w:pPr>
      <w:bookmarkStart w:id="99" w:name="xcontractual_obligation__of_any_person_s"/>
      <w:bookmarkEnd w:id="99"/>
      <w:r>
        <w:rPr>
          <w:color w:val="000000"/>
        </w:rPr>
        <w:t>“</w:t>
      </w:r>
      <w:r>
        <w:rPr>
          <w:rFonts w:ascii="Times New Roman" w:hAnsi="Times New Roman"/>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of any Person shall mean any provision of any security issued by such Person or of any agreement, instrument or undertaking under which such Person is obligated or by which it or any of the property in which it has an interest is bound.</w:t>
      </w:r>
    </w:p>
    <w:p>
      <w:pPr>
        <w:pStyle w:val="TextBody"/>
        <w:bidi w:val="0"/>
        <w:spacing w:before="240" w:after="283"/>
        <w:jc w:val="both"/>
        <w:rPr/>
      </w:pPr>
      <w:bookmarkStart w:id="100" w:name="xcovered_entity__shall_mean_any_of_the_f"/>
      <w:bookmarkEnd w:id="100"/>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shall mean any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“covered entity” as that term is defined in, and interpreted in accordance with, 12 C.F.R. §252.82(b);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“covered bank” as that term is defined in, and interpreted in accordance with, 12 C.F.R. §47.3(b);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“covered FSI” as that term is defined in, and interpreted in accordance with, 12 C.F.R. §382.2(b).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101" w:name="xcredit_agreement_refinancing_indebtedne"/>
      <w:bookmarkEnd w:id="101"/>
      <w:r>
        <w:rPr>
          <w:color w:val="000000"/>
        </w:rPr>
        <w:t>“</w:t>
      </w:r>
      <w:r>
        <w:rPr>
          <w:rFonts w:ascii="Times New Roman" w:hAnsi="Times New Roman"/>
          <w:color w:val="000000"/>
          <w:sz w:val="22"/>
          <w:u w:val="single"/>
        </w:rPr>
        <w:t>Credit Agreement Refinancing Indebtedness</w:t>
      </w:r>
      <w:r>
        <w:rPr>
          <w:rFonts w:ascii="Times New Roman" w:hAnsi="Times New Roman"/>
          <w:color w:val="000000"/>
          <w:sz w:val="20"/>
        </w:rPr>
        <w:t xml:space="preserve">” </w:t>
      </w:r>
      <w:r>
        <w:rPr>
          <w:rFonts w:ascii="Times New Roman" w:hAnsi="Times New Roman"/>
          <w:color w:val="000000"/>
          <w:sz w:val="22"/>
        </w:rPr>
        <w:t>shall mean any (1) Other Term Loans issued under Other Term Loan Commitments, (2) Other Revolving Loans issued under Other Revolving Commitments, (3) Permitted Junior Refinancing Debt, (4) Permitted Senior Refinancing Debt, or (5) Permitted Unsecured Refinancing Debt, in each case, issued, incurred or otherwise obtained in exchange for, or to extend, renew, replace or refinance, in whole or part, existing Term Loans or Revolving Commitments (“</w:t>
      </w:r>
      <w:r>
        <w:rPr>
          <w:rFonts w:ascii="Times New Roman" w:hAnsi="Times New Roman"/>
          <w:color w:val="000000"/>
          <w:sz w:val="22"/>
          <w:u w:val="single"/>
        </w:rPr>
        <w:t>Refinanced Debt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exchanging, extending, renewing, replacing or refinancing Indebtedness (“</w:t>
      </w:r>
      <w:r>
        <w:rPr>
          <w:rFonts w:ascii="Times New Roman" w:hAnsi="Times New Roman"/>
          <w:color w:val="000000"/>
          <w:sz w:val="22"/>
          <w:u w:val="single"/>
        </w:rPr>
        <w:t>Refinancing Debt</w:t>
      </w:r>
      <w:r>
        <w:rPr>
          <w:rFonts w:ascii="Times New Roman" w:hAnsi="Times New Roman"/>
          <w:color w:val="000000"/>
          <w:sz w:val="20"/>
        </w:rPr>
        <w:t>”</w:t>
      </w:r>
      <w:r>
        <w:rPr>
          <w:rFonts w:ascii="Times New Roman" w:hAnsi="Times New Roman"/>
          <w:color w:val="000000"/>
          <w:sz w:val="22"/>
        </w:rPr>
        <w:t xml:space="preserve">) (a) is in an original aggregate principal amount not greater than the aggregate principal amount of the Refinanced Debt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any Additional Refinancing Amount related thereto, (b) does not mature earlier than the stated maturity date of the Refinanced Debt;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such Refinancing Debt is secured by Liens ranking junior to the Liens securing the Obligations or unsecured, the final maturity date of such Refinancing Debt shall be at least ninety-one (91) days after the Latest Maturity Date, (c) except in the case of Other Revolving Commitments, has a Weighted Average Life to Maturity not shorter than the remaining Weighted Average Life to Maturity of the Refinanced Debt, (d) shall not be guaranteed by any entity that is not a Loan Party, (e) in the case of any secured Indebtedness, (i) such Indebtedness is not secured by any assets not securing the Obligations and (ii) is subject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relevant Intercreditor Agreement(s), (f) except in the case of the refinancing of the Obligations as a whole (and the termination of all Commitments), as of the date of incurrence of such Credit Agreement Refinancing Indebtedness and after giving effect thereto, no Event of Default exists and is continuing or would result therefrom, (g) shall not have mandatory redemption features (other than customary asset sale, insurance and condemnation proceeds events and change of control offers, and subject to customary exceptions for bridge financings;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each case, such Refinancing Debt shall not participate in any such prepayment on a greater than pro rata basis with the Term Loans) that could result in redemptions of such Refinancing Debt prior to the Latest Maturity Date of the applicable Refinanced Debt, (h) if secured by Liens ranking junior to the Liens securing the Obligations or unsecured, has no amortization and (i) shall have terms and conditions (taken as a whole) that (excluding pricing, fees, interest rate margins, interest rate floors, discounts, premiums and optional prepayment or redemption terms) are substantially identical to, or (taken as a whole) are not materially more favorable (when taken as a whole) to the lenders providing such Refinancing Debt than the comparable provisions applicable to the Refinanced Debt (when taken as a whole) (except for covenants or other provisions applicable only to periods after the Latest Maturity Date at the time of such refinancing) (it being understood that (A) the Borrower shall have the right to unilaterally provide the existing Lenders with additional rights and benefits (such rights and benefits, “</w:t>
      </w:r>
      <w:r>
        <w:rPr>
          <w:rFonts w:ascii="Times New Roman" w:hAnsi="Times New Roman"/>
          <w:color w:val="000000"/>
          <w:sz w:val="22"/>
          <w:u w:val="single"/>
        </w:rPr>
        <w:t>Additional Rights</w:t>
      </w:r>
      <w:r>
        <w:rPr>
          <w:rFonts w:ascii="Times New Roman" w:hAnsi="Times New Roman"/>
          <w:color w:val="000000"/>
          <w:sz w:val="20"/>
        </w:rPr>
        <w:t>”</w:t>
      </w:r>
      <w:r>
        <w:rPr>
          <w:rFonts w:ascii="Times New Roman" w:hAnsi="Times New Roman"/>
          <w:color w:val="000000"/>
          <w:sz w:val="22"/>
        </w:rPr>
        <w:t xml:space="preserve">) and the “not materially more favorable” requirement of this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and compliance therewith shall be determined after giving effect to such Additional Rights and (B) to the extent that any financial maintenance covenant is added for the benefit of any such Indebtedness, no consent shall be required by the Administrative Agent or any of the Lenders if such financial maintenance covenant is either (1) also added for the benefit of any corresponding Loans remaining outstanding after the issuance or incurrence of such Indebtedness or (2) only applicable after the Latest Maturity Date at the time of such refinancing).</w:t>
      </w:r>
    </w:p>
    <w:p>
      <w:pPr>
        <w:pStyle w:val="TextBody"/>
        <w:bidi w:val="0"/>
        <w:spacing w:before="240" w:after="283"/>
        <w:jc w:val="both"/>
        <w:rPr/>
      </w:pPr>
      <w:bookmarkStart w:id="102" w:name="xcredit_event__shall_mean_the_advancing_"/>
      <w:bookmarkEnd w:id="102"/>
      <w:r>
        <w:rPr>
          <w:color w:val="000000"/>
        </w:rPr>
        <w:t>“</w:t>
      </w:r>
      <w:r>
        <w:rPr>
          <w:rFonts w:ascii="Times New Roman" w:hAnsi="Times New Roman"/>
          <w:color w:val="000000"/>
          <w:sz w:val="22"/>
          <w:u w:val="single"/>
        </w:rPr>
        <w:t>Credit Event</w:t>
      </w:r>
      <w:r>
        <w:rPr>
          <w:rFonts w:ascii="Times New Roman" w:hAnsi="Times New Roman"/>
          <w:color w:val="000000"/>
          <w:sz w:val="20"/>
        </w:rPr>
        <w:t xml:space="preserve">” </w:t>
      </w:r>
      <w:r>
        <w:rPr>
          <w:rFonts w:ascii="Times New Roman" w:hAnsi="Times New Roman"/>
          <w:color w:val="000000"/>
          <w:sz w:val="22"/>
        </w:rPr>
        <w:t>shall mean the advancing of any Loan, or the issuance of, or extension of the expiration date or increase in the amount of, any Letter of Credit.</w:t>
      </w:r>
    </w:p>
    <w:p>
      <w:pPr>
        <w:pStyle w:val="TextBody"/>
        <w:bidi w:val="0"/>
        <w:spacing w:before="240" w:after="283"/>
        <w:jc w:val="both"/>
        <w:rPr/>
      </w:pPr>
      <w:bookmarkStart w:id="103" w:name="xdaily_simple_sofr__shall_mean__for_any_"/>
      <w:bookmarkEnd w:id="103"/>
      <w:r>
        <w:rPr>
          <w:color w:val="000000"/>
        </w:rPr>
        <w:t>“</w:t>
      </w:r>
      <w:r>
        <w:rPr>
          <w:rFonts w:ascii="Times New Roman" w:hAnsi="Times New Roman"/>
          <w:color w:val="000000"/>
          <w:sz w:val="22"/>
          <w:u w:val="single"/>
        </w:rPr>
        <w:t>Daily Simple SOFR</w:t>
      </w:r>
      <w:r>
        <w:rPr>
          <w:rFonts w:ascii="Times New Roman" w:hAnsi="Times New Roman"/>
          <w:color w:val="000000"/>
          <w:sz w:val="20"/>
        </w:rPr>
        <w:t xml:space="preserve">” </w:t>
      </w:r>
      <w:r>
        <w:rPr>
          <w:rFonts w:ascii="Times New Roman" w:hAnsi="Times New Roman"/>
          <w:color w:val="000000"/>
          <w:sz w:val="22"/>
        </w:rPr>
        <w:t xml:space="preserve">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color w:val="000000"/>
          <w:sz w:val="22"/>
          <w:u w:val="single"/>
        </w:rPr>
        <w:t>provided</w:t>
      </w:r>
      <w:r>
        <w:rPr>
          <w:rFonts w:ascii="Times New Roman" w:hAnsi="Times New Roman"/>
          <w:color w:val="000000"/>
          <w:sz w:val="22"/>
        </w:rPr>
        <w:t>,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240" w:after="283"/>
        <w:jc w:val="both"/>
        <w:rPr/>
      </w:pPr>
      <w:bookmarkStart w:id="104" w:name="xdebtor_relief_laws__shall_mean_the_bank"/>
      <w:bookmarkEnd w:id="104"/>
      <w:r>
        <w:rPr>
          <w:color w:val="000000"/>
        </w:rPr>
        <w:t>“</w:t>
      </w:r>
      <w:r>
        <w:rPr>
          <w:rFonts w:ascii="Times New Roman" w:hAnsi="Times New Roman"/>
          <w:color w:val="000000"/>
          <w:sz w:val="22"/>
          <w:u w:val="single"/>
        </w:rPr>
        <w:t>Debtor Relief Laws</w:t>
      </w:r>
      <w:r>
        <w:rPr>
          <w:rFonts w:ascii="Times New Roman" w:hAnsi="Times New Roman"/>
          <w:color w:val="000000"/>
          <w:sz w:val="20"/>
        </w:rPr>
        <w:t xml:space="preserve">” </w:t>
      </w:r>
      <w:r>
        <w:rPr>
          <w:rFonts w:ascii="Times New Roman" w:hAnsi="Times New Roman"/>
          <w:color w:val="000000"/>
          <w:sz w:val="22"/>
        </w:rPr>
        <w:t>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240" w:after="283"/>
        <w:jc w:val="both"/>
        <w:rPr/>
      </w:pPr>
      <w:bookmarkStart w:id="105" w:name="xdefault__shall_mean_any_condition_or_ev"/>
      <w:bookmarkEnd w:id="105"/>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shall mean any condition or event that, with the giving of notice or the lapse of time or both, would constitute an Event of Default.</w:t>
      </w:r>
    </w:p>
    <w:p>
      <w:pPr>
        <w:pStyle w:val="TextBody"/>
        <w:bidi w:val="0"/>
        <w:spacing w:before="240" w:after="283"/>
        <w:jc w:val="both"/>
        <w:rPr/>
      </w:pPr>
      <w:bookmarkStart w:id="106" w:name="xdefault_interest__shall_have_the_meanin"/>
      <w:bookmarkEnd w:id="106"/>
      <w:r>
        <w:rPr>
          <w:color w:val="000000"/>
        </w:rPr>
        <w:t>“</w:t>
      </w:r>
      <w:r>
        <w:rPr>
          <w:rFonts w:ascii="Times New Roman" w:hAnsi="Times New Roman"/>
          <w:color w:val="000000"/>
          <w:sz w:val="22"/>
          <w:u w:val="single"/>
        </w:rPr>
        <w:t>Default Interest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2.13(d)</w:t>
      </w:r>
      <w:r>
        <w:rPr>
          <w:rFonts w:ascii="Times New Roman" w:hAnsi="Times New Roman"/>
          <w:color w:val="000000"/>
          <w:sz w:val="22"/>
        </w:rPr>
        <w:t>.</w:t>
      </w:r>
    </w:p>
    <w:p>
      <w:pPr>
        <w:pStyle w:val="TextBody"/>
        <w:bidi w:val="0"/>
        <w:spacing w:before="240" w:after="283"/>
        <w:jc w:val="both"/>
        <w:rPr/>
      </w:pPr>
      <w:bookmarkStart w:id="107" w:name="xdefault_right__shall_have_the_meaning_a"/>
      <w:bookmarkEnd w:id="107"/>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shall have the meaning assigned to that term in, and shall be interpreted in accordance with, 12 C.F.R. §§252.81, 47.2 or 382.1, as applicable.</w:t>
      </w:r>
    </w:p>
    <w:p>
      <w:pPr>
        <w:pStyle w:val="TextBody"/>
        <w:bidi w:val="0"/>
        <w:spacing w:before="240" w:after="283"/>
        <w:jc w:val="both"/>
        <w:rPr/>
      </w:pPr>
      <w:bookmarkStart w:id="108" w:name="xdefaulting_lender__shall_mean__subject_"/>
      <w:bookmarkEnd w:id="108"/>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 xml:space="preserve">shall mean, subject to </w:t>
      </w:r>
      <w:r>
        <w:rPr>
          <w:rFonts w:ascii="Times New Roman" w:hAnsi="Times New Roman"/>
          <w:color w:val="000000"/>
          <w:sz w:val="22"/>
          <w:u w:val="single"/>
        </w:rPr>
        <w:t>Section 2.26(c)</w:t>
      </w:r>
      <w:r>
        <w:rPr>
          <w:rFonts w:ascii="Times New Roman" w:hAnsi="Times New Roman"/>
          <w:color w:val="000000"/>
          <w:sz w:val="22"/>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in such writing) has not been satisfied, or (ii) pay to the Administrative Agent, the Issuing Bank, the Swingline Lender or any other Lender any other amount required to be paid by it hereunder (including in respect of its participation in Letters of Credit or Swingline Loans) within two (2) Business Days of the date when due, (b) has notified the Borrower, the Administrative Agent or the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the Borrower or, to the extent the Issuing Bank has LC Exposure at such time, the Issuing Bank, to confirm in writing to the Administrative Agent, the Issuing Bank, and the Borrower that it will comply with its prospective funding obligations 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upon receipt of such written confirmation by the Administrative Agent, the Issuing Bank, or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above shall be conclusive and binding absent manifest error, and such Lender shall be deemed to be a Defaulting Lender (subject to </w:t>
      </w:r>
      <w:r>
        <w:rPr>
          <w:rFonts w:ascii="Times New Roman" w:hAnsi="Times New Roman"/>
          <w:color w:val="000000"/>
          <w:sz w:val="22"/>
          <w:u w:val="single"/>
        </w:rPr>
        <w:t>Section 2.26</w:t>
      </w:r>
      <w:r>
        <w:rPr>
          <w:rFonts w:ascii="Times New Roman" w:hAnsi="Times New Roman"/>
          <w:color w:val="000000"/>
          <w:sz w:val="22"/>
        </w:rPr>
        <w:t>(</w:t>
      </w:r>
      <w:r>
        <w:rPr>
          <w:rFonts w:ascii="Times New Roman" w:hAnsi="Times New Roman"/>
          <w:color w:val="000000"/>
          <w:sz w:val="22"/>
          <w:u w:val="single"/>
        </w:rPr>
        <w:t>b</w:t>
      </w:r>
      <w:r>
        <w:rPr>
          <w:rFonts w:ascii="Times New Roman" w:hAnsi="Times New Roman"/>
          <w:color w:val="000000"/>
          <w:sz w:val="22"/>
        </w:rPr>
        <w:t>)) upon delivery of written notice of such determination to the Borrower, the Issuing Bank, the Swingline Lender and each Lender.</w:t>
      </w:r>
    </w:p>
    <w:p>
      <w:pPr>
        <w:pStyle w:val="TextBody"/>
        <w:bidi w:val="0"/>
        <w:spacing w:before="240" w:after="283"/>
        <w:jc w:val="both"/>
        <w:rPr/>
      </w:pPr>
      <w:bookmarkStart w:id="109" w:name="xdisqualified_capital_stock__shall_mean_"/>
      <w:bookmarkEnd w:id="109"/>
      <w:r>
        <w:rPr>
          <w:color w:val="000000"/>
        </w:rPr>
        <w:t>“</w:t>
      </w:r>
      <w:r>
        <w:rPr>
          <w:rFonts w:ascii="Times New Roman" w:hAnsi="Times New Roman"/>
          <w:color w:val="000000"/>
          <w:sz w:val="22"/>
          <w:u w:val="single"/>
        </w:rPr>
        <w:t>Disqualified Capital Stock</w:t>
      </w:r>
      <w:r>
        <w:rPr>
          <w:rFonts w:ascii="Times New Roman" w:hAnsi="Times New Roman"/>
          <w:color w:val="000000"/>
          <w:sz w:val="20"/>
        </w:rPr>
        <w:t xml:space="preserve">” </w:t>
      </w:r>
      <w:r>
        <w:rPr>
          <w:rFonts w:ascii="Times New Roman" w:hAnsi="Times New Roman"/>
          <w:color w:val="000000"/>
          <w:sz w:val="22"/>
        </w:rPr>
        <w:t xml:space="preserve">shall mean any Capital Stock in a Person which, by its terms (or by the terms of any security into which it is convertible or for which it is exchangeable), or upon the happening of any event, (a) matures or is mandatorily redeemable, pursuant to a sinking fund obligation or otherwise, or is redeemable at the option of the holder thereof (whether described as a “put option” or otherwise), in whole or in part, on or prior to the date that is ninety-one (91) days after the Latest Maturity Date (excluding any provisions requiring redemption upon a “change of control” or asset sale; provided that any such “change of control” or asset sale shall be subject to the prior repayment in full of the Loans and other Obligations that are accrued and payable and the terminations of the Commitments), (b) is convertible into or exchangeable for (i) debt securities or (ii) any Capital Stock referred to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or (c) is entitled to receive a mandatory dividend or distribution (other than for taxes attributable to the operations of the business) on or prior to the date that is ninety-one (91) days after the Latest Maturity Date; in each case, in respect of the foregoing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in the case of Capital Stock or other equity interests in Holdings or the Borrower, except to the extent that the terms of such Capital Stock expressly provide that such mandatory redemption, dividend or any other similar right, is exercisable or payable only to the extent that (x) the Obligations shall have been repaid in full or the Borrower is expressly permitted to consummate such redemption, dividend or other similar right pursuant to </w:t>
      </w:r>
      <w:r>
        <w:rPr>
          <w:rFonts w:ascii="Times New Roman" w:hAnsi="Times New Roman"/>
          <w:color w:val="000000"/>
          <w:sz w:val="22"/>
          <w:u w:val="single"/>
        </w:rPr>
        <w:t>Section 7.5</w:t>
      </w:r>
      <w:r>
        <w:rPr>
          <w:rFonts w:ascii="Times New Roman" w:hAnsi="Times New Roman"/>
          <w:color w:val="000000"/>
          <w:sz w:val="20"/>
        </w:rPr>
        <w:t xml:space="preserve"> </w:t>
      </w:r>
      <w:r>
        <w:rPr>
          <w:rFonts w:ascii="Times New Roman" w:hAnsi="Times New Roman"/>
          <w:color w:val="000000"/>
          <w:sz w:val="22"/>
        </w:rPr>
        <w:t>hereof, and (y) the exercise of such mandatory redemption or other similar right or payment of such dividend is not prohibited by the terms any loan documents to which Holdings, the Borrower or any of their respective Subsidiaries are from time to time a party.</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110" w:name="xdisqualified_institution__shall_mean__a"/>
      <w:bookmarkEnd w:id="110"/>
      <w:r>
        <w:rPr>
          <w:color w:val="000000"/>
        </w:rPr>
        <w:t>“</w:t>
      </w:r>
      <w:r>
        <w:rPr>
          <w:rFonts w:ascii="Times New Roman" w:hAnsi="Times New Roman"/>
          <w:color w:val="000000"/>
          <w:sz w:val="22"/>
          <w:u w:val="single"/>
        </w:rPr>
        <w:t>Disqualified Institution</w:t>
      </w:r>
      <w:r>
        <w:rPr>
          <w:rFonts w:ascii="Times New Roman" w:hAnsi="Times New Roman"/>
          <w:color w:val="000000"/>
          <w:sz w:val="20"/>
        </w:rPr>
        <w:t xml:space="preserve">” </w:t>
      </w:r>
      <w:r>
        <w:rPr>
          <w:rFonts w:ascii="Times New Roman" w:hAnsi="Times New Roman"/>
          <w:color w:val="000000"/>
          <w:sz w:val="22"/>
        </w:rPr>
        <w:t>shall mean (a) (i) certain banks, financial institutions or other institutional lenders or entities that, in each case, have been specified to the Administrative Agent or the Arrangers by the Borrower in writing prior to the date of execution hereof, or (ii) competitors of Holdings, the Borrower or their respective Subsidiaries that have been identified to the Administrative Agent or the Arrangers by the Borrower in writing prior to the Closing Date (any such entity, a “</w:t>
      </w:r>
      <w:r>
        <w:rPr>
          <w:rFonts w:ascii="Times New Roman" w:hAnsi="Times New Roman"/>
          <w:color w:val="000000"/>
          <w:sz w:val="22"/>
          <w:u w:val="single"/>
        </w:rPr>
        <w:t>Competitor</w:t>
      </w:r>
      <w:r>
        <w:rPr>
          <w:rFonts w:ascii="Times New Roman" w:hAnsi="Times New Roman"/>
          <w:color w:val="000000"/>
          <w:sz w:val="20"/>
        </w:rPr>
        <w:t>”</w:t>
      </w:r>
      <w:r>
        <w:rPr>
          <w:rFonts w:ascii="Times New Roman" w:hAnsi="Times New Roman"/>
          <w:color w:val="000000"/>
          <w:sz w:val="22"/>
        </w:rPr>
        <w:t xml:space="preserve">) or (b) any Person that is clearly identifiable, solely on the basis of such Person’s name, as an Affiliate of any Person referred to in </w:t>
      </w:r>
      <w:r>
        <w:rPr>
          <w:rFonts w:ascii="Times New Roman" w:hAnsi="Times New Roman"/>
          <w:color w:val="000000"/>
          <w:sz w:val="22"/>
          <w:u w:val="single"/>
        </w:rPr>
        <w:t>clauses (a)(i)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(a)(ii)</w:t>
      </w:r>
      <w:r>
        <w:rPr>
          <w:rFonts w:ascii="Times New Roman" w:hAnsi="Times New Roman"/>
          <w:color w:val="000000"/>
          <w:sz w:val="20"/>
        </w:rPr>
        <w:t xml:space="preserve"> </w:t>
      </w:r>
      <w:r>
        <w:rPr>
          <w:rFonts w:ascii="Times New Roman" w:hAnsi="Times New Roman"/>
          <w:color w:val="000000"/>
          <w:sz w:val="22"/>
        </w:rPr>
        <w:t xml:space="preserve">above;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 Disqualified Institutions shall include any Person that is added as a Competitor pursuant to a written supplement to the list of Competitors that are Disqualified Institutions that is delivered by the Borrower after the Closing Date to the Administrative Agent, (II) to the extent Persons are identified as Disqualified Institutions in writing by the Borrower to the Administrative Agent, the inclusion of such persons as Disqualified Institutions shall not retroactively apply to prior assignments or participations, (III) a list of Disqualified Institutions identified above (the “</w:t>
      </w:r>
      <w:r>
        <w:rPr>
          <w:rFonts w:ascii="Times New Roman" w:hAnsi="Times New Roman"/>
          <w:color w:val="000000"/>
          <w:sz w:val="22"/>
          <w:u w:val="single"/>
        </w:rPr>
        <w:t>DQ List</w:t>
      </w:r>
      <w:r>
        <w:rPr>
          <w:rFonts w:ascii="Times New Roman" w:hAnsi="Times New Roman"/>
          <w:color w:val="000000"/>
          <w:sz w:val="20"/>
        </w:rPr>
        <w:t>”</w:t>
      </w:r>
      <w:r>
        <w:rPr>
          <w:rFonts w:ascii="Times New Roman" w:hAnsi="Times New Roman"/>
          <w:color w:val="000000"/>
          <w:sz w:val="22"/>
        </w:rPr>
        <w:t>) shall be made available to all Lenders upon request to the Administrative Agent, and (IV) “Disqualified Institutions” shall exclude any Person that the Borrower has designated as no longer being a “Disqualified Institution” by written notice delivered to the Administrative Agent from time to time.</w:t>
      </w:r>
    </w:p>
    <w:p>
      <w:pPr>
        <w:pStyle w:val="TextBody"/>
        <w:bidi w:val="0"/>
        <w:spacing w:before="240" w:after="283"/>
        <w:jc w:val="both"/>
        <w:rPr/>
      </w:pPr>
      <w:bookmarkStart w:id="111" w:name="xdollar_s___and_the_sign_____shall_mean_"/>
      <w:bookmarkEnd w:id="111"/>
      <w:r>
        <w:rPr>
          <w:color w:val="000000"/>
        </w:rPr>
        <w:t>“</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and the sign “$” shall mean lawful money of the United States of America.</w:t>
      </w:r>
    </w:p>
    <w:p>
      <w:pPr>
        <w:pStyle w:val="TextBody"/>
        <w:bidi w:val="0"/>
        <w:spacing w:before="240" w:after="283"/>
        <w:jc w:val="both"/>
        <w:rPr/>
      </w:pPr>
      <w:bookmarkStart w:id="112" w:name="xdonovitz_settlement_agreement__shall_me"/>
      <w:bookmarkEnd w:id="112"/>
      <w:r>
        <w:rPr>
          <w:color w:val="000000"/>
        </w:rPr>
        <w:t>“</w:t>
      </w:r>
      <w:r>
        <w:rPr>
          <w:rFonts w:ascii="Times New Roman" w:hAnsi="Times New Roman"/>
          <w:color w:val="000000"/>
          <w:sz w:val="22"/>
          <w:u w:val="single"/>
        </w:rPr>
        <w:t>Donovitz Settlement Agreement</w:t>
      </w:r>
      <w:r>
        <w:rPr>
          <w:rFonts w:ascii="Times New Roman" w:hAnsi="Times New Roman"/>
          <w:color w:val="000000"/>
          <w:sz w:val="20"/>
        </w:rPr>
        <w:t xml:space="preserve">” </w:t>
      </w:r>
      <w:r>
        <w:rPr>
          <w:rFonts w:ascii="Times New Roman" w:hAnsi="Times New Roman"/>
          <w:color w:val="000000"/>
          <w:sz w:val="22"/>
        </w:rPr>
        <w:t xml:space="preserve">shall mean that certain Settlement Agreement, effective as of April 23, 2024, among, </w:t>
      </w:r>
      <w:r>
        <w:rPr>
          <w:rFonts w:ascii="Times New Roman" w:hAnsi="Times New Roman"/>
          <w:i/>
          <w:color w:val="000000"/>
          <w:sz w:val="22"/>
        </w:rPr>
        <w:t>inter alios</w:t>
      </w:r>
      <w:r>
        <w:rPr>
          <w:rFonts w:ascii="Times New Roman" w:hAnsi="Times New Roman"/>
          <w:color w:val="000000"/>
          <w:sz w:val="22"/>
        </w:rPr>
        <w:t>, the Parent and Dr. Gary S. Donovitz.</w:t>
      </w:r>
    </w:p>
    <w:p>
      <w:pPr>
        <w:pStyle w:val="TextBody"/>
        <w:bidi w:val="0"/>
        <w:spacing w:before="240" w:after="283"/>
        <w:jc w:val="both"/>
        <w:rPr/>
      </w:pPr>
      <w:bookmarkStart w:id="113" w:name="xdomestic_subsidiary__shall_mean_any_sub"/>
      <w:bookmarkEnd w:id="113"/>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shall mean any Subsidiary of Holdings that is organized under the laws of any political subdivision of the United States.</w:t>
      </w:r>
    </w:p>
    <w:p>
      <w:pPr>
        <w:pStyle w:val="TextBody"/>
        <w:bidi w:val="0"/>
        <w:spacing w:before="240" w:after="283"/>
        <w:jc w:val="both"/>
        <w:rPr/>
      </w:pPr>
      <w:bookmarkStart w:id="114" w:name="xdq_list__shall_have_the_meaning_set_for"/>
      <w:bookmarkEnd w:id="114"/>
      <w:r>
        <w:rPr>
          <w:color w:val="000000"/>
        </w:rPr>
        <w:t>“</w:t>
      </w:r>
      <w:r>
        <w:rPr>
          <w:rFonts w:ascii="Times New Roman" w:hAnsi="Times New Roman"/>
          <w:color w:val="000000"/>
          <w:sz w:val="22"/>
          <w:u w:val="single"/>
        </w:rPr>
        <w:t>DQ List</w:t>
      </w:r>
      <w:r>
        <w:rPr>
          <w:rFonts w:ascii="Times New Roman" w:hAnsi="Times New Roman"/>
          <w:color w:val="000000"/>
          <w:sz w:val="20"/>
        </w:rPr>
        <w:t xml:space="preserve">” </w:t>
      </w:r>
      <w:r>
        <w:rPr>
          <w:rFonts w:ascii="Times New Roman" w:hAnsi="Times New Roman"/>
          <w:color w:val="000000"/>
          <w:sz w:val="22"/>
        </w:rPr>
        <w:t>shall have the meaning set forth in the definition of “Disqualified Institutions.”</w:t>
      </w:r>
    </w:p>
    <w:p>
      <w:pPr>
        <w:pStyle w:val="TextBody"/>
        <w:bidi w:val="0"/>
        <w:spacing w:before="240" w:after="283"/>
        <w:jc w:val="both"/>
        <w:rPr/>
      </w:pPr>
      <w:bookmarkStart w:id="115" w:name="xearnout_obligations__shall_mean__with_r"/>
      <w:bookmarkEnd w:id="115"/>
      <w:r>
        <w:rPr>
          <w:color w:val="000000"/>
        </w:rPr>
        <w:t>“</w:t>
      </w:r>
      <w:r>
        <w:rPr>
          <w:rFonts w:ascii="Times New Roman" w:hAnsi="Times New Roman"/>
          <w:color w:val="000000"/>
          <w:sz w:val="22"/>
          <w:u w:val="single"/>
        </w:rPr>
        <w:t>Earnout Obligations</w:t>
      </w:r>
      <w:r>
        <w:rPr>
          <w:rFonts w:ascii="Times New Roman" w:hAnsi="Times New Roman"/>
          <w:color w:val="000000"/>
          <w:sz w:val="20"/>
        </w:rPr>
        <w:t xml:space="preserve">” </w:t>
      </w:r>
      <w:r>
        <w:rPr>
          <w:rFonts w:ascii="Times New Roman" w:hAnsi="Times New Roman"/>
          <w:color w:val="000000"/>
          <w:sz w:val="22"/>
        </w:rPr>
        <w:t>shall mean, with respect to any Acquisition, all obligations of Holdings or any of its Subsidiaries to make (i) earn out or other contingency payments which are payable based on the achievement of specified financial results over time or similar contingent payment or arrangement (other than consulting agreements for which associated costs are included in Consolidated Net Income) and (ii) other indemnity obligations pursuant to the documentation relating to such Acquisition (and including fixed deferred payments related to such Acquisitions). For purposes of determining the aggregate consideration paid for an Acquisition and for determining the amount of any Earnout Obligations to be included in the definition of Consolidated Total Debt, subject to the limitations set forth therein, the amount of Earnout Obligations shall be deemed to be the aggregate liability in respect thereof, as determined in accordance with GAAP and shall consist only of those Earnout Obligations set forth in clause (i) of this definition.</w:t>
      </w:r>
    </w:p>
    <w:p>
      <w:pPr>
        <w:pStyle w:val="TextBody"/>
        <w:bidi w:val="0"/>
        <w:spacing w:before="240" w:after="283"/>
        <w:jc w:val="both"/>
        <w:rPr/>
      </w:pPr>
      <w:bookmarkStart w:id="116" w:name="xeea_financial_institution__shall_mean__"/>
      <w:bookmarkEnd w:id="116"/>
      <w:r>
        <w:rPr>
          <w:color w:val="000000"/>
        </w:rPr>
        <w:t>“</w:t>
      </w:r>
      <w:r>
        <w:rPr>
          <w:rFonts w:ascii="Times New Roman" w:hAnsi="Times New Roman"/>
          <w:color w:val="000000"/>
          <w:sz w:val="22"/>
        </w:rPr>
        <w:t xml:space="preserve">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definition, or (c) any financial institution established in an EEA Member Country which is a subsidiary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of this definition and is subject to consolidated supervision with its parent.</w:t>
      </w:r>
    </w:p>
    <w:p>
      <w:pPr>
        <w:pStyle w:val="TextBody"/>
        <w:bidi w:val="0"/>
        <w:spacing w:before="240" w:after="283"/>
        <w:jc w:val="both"/>
        <w:rPr/>
      </w:pPr>
      <w:bookmarkStart w:id="117" w:name="xeea_member_country__shall_mean_any_of_t"/>
      <w:bookmarkEnd w:id="117"/>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shall mean any of the member states of the European Union, Iceland, Liechtenstein, and Norway.</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118" w:name="xeea_resolution_authority__shall_mean_an"/>
      <w:bookmarkEnd w:id="118"/>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283"/>
        <w:jc w:val="both"/>
        <w:rPr/>
      </w:pPr>
      <w:bookmarkStart w:id="119" w:name="xeligible_assignee__shall_mean_any_perso"/>
      <w:bookmarkEnd w:id="119"/>
      <w:r>
        <w:rPr>
          <w:color w:val="000000"/>
        </w:rPr>
        <w:t>“</w:t>
      </w:r>
      <w:r>
        <w:rPr>
          <w:rFonts w:ascii="Times New Roman" w:hAnsi="Times New Roman"/>
          <w:color w:val="000000"/>
          <w:sz w:val="22"/>
          <w:u w:val="single"/>
        </w:rPr>
        <w:t>Eligible Assignee</w:t>
      </w:r>
      <w:r>
        <w:rPr>
          <w:rFonts w:ascii="Times New Roman" w:hAnsi="Times New Roman"/>
          <w:color w:val="000000"/>
          <w:sz w:val="20"/>
        </w:rPr>
        <w:t xml:space="preserve">” </w:t>
      </w:r>
      <w:r>
        <w:rPr>
          <w:rFonts w:ascii="Times New Roman" w:hAnsi="Times New Roman"/>
          <w:color w:val="000000"/>
          <w:sz w:val="22"/>
        </w:rPr>
        <w:t xml:space="preserve">shall mean any Person that meets the requirements to be an assignee as set forth in </w:t>
      </w:r>
      <w:r>
        <w:rPr>
          <w:rFonts w:ascii="Times New Roman" w:hAnsi="Times New Roman"/>
          <w:color w:val="000000"/>
          <w:sz w:val="22"/>
          <w:u w:val="single"/>
        </w:rPr>
        <w:t>Section 11.4</w:t>
      </w:r>
      <w:r>
        <w:rPr>
          <w:rFonts w:ascii="Times New Roman" w:hAnsi="Times New Roman"/>
          <w:color w:val="000000"/>
          <w:sz w:val="20"/>
        </w:rPr>
        <w:t xml:space="preserve"> </w:t>
      </w:r>
      <w:r>
        <w:rPr>
          <w:rFonts w:ascii="Times New Roman" w:hAnsi="Times New Roman"/>
          <w:color w:val="000000"/>
          <w:sz w:val="22"/>
        </w:rPr>
        <w:t xml:space="preserve">(subject to such consents, if any, as may be required under </w:t>
      </w:r>
      <w:r>
        <w:rPr>
          <w:rFonts w:ascii="Times New Roman" w:hAnsi="Times New Roman"/>
          <w:color w:val="000000"/>
          <w:sz w:val="22"/>
          <w:u w:val="single"/>
        </w:rPr>
        <w:t>Section 11.4(b)(iii</w:t>
      </w:r>
      <w:r>
        <w:rPr>
          <w:rFonts w:ascii="Times New Roman" w:hAnsi="Times New Roman"/>
          <w:color w:val="000000"/>
          <w:sz w:val="22"/>
        </w:rPr>
        <w:t>)).</w:t>
      </w:r>
    </w:p>
    <w:p>
      <w:pPr>
        <w:pStyle w:val="TextBody"/>
        <w:bidi w:val="0"/>
        <w:spacing w:before="240" w:after="283"/>
        <w:jc w:val="both"/>
        <w:rPr/>
      </w:pPr>
      <w:bookmarkStart w:id="120" w:name="xenvironmental_indemnity__shall_mean_eac"/>
      <w:bookmarkEnd w:id="120"/>
      <w:r>
        <w:rPr>
          <w:color w:val="000000"/>
        </w:rPr>
        <w:t>“</w:t>
      </w:r>
      <w:r>
        <w:rPr>
          <w:rFonts w:ascii="Times New Roman" w:hAnsi="Times New Roman"/>
          <w:color w:val="000000"/>
          <w:sz w:val="22"/>
          <w:u w:val="single"/>
        </w:rPr>
        <w:t>Environmental Indemnity</w:t>
      </w:r>
      <w:r>
        <w:rPr>
          <w:rFonts w:ascii="Times New Roman" w:hAnsi="Times New Roman"/>
          <w:color w:val="000000"/>
          <w:sz w:val="20"/>
        </w:rPr>
        <w:t xml:space="preserve">” </w:t>
      </w:r>
      <w:r>
        <w:rPr>
          <w:rFonts w:ascii="Times New Roman" w:hAnsi="Times New Roman"/>
          <w:color w:val="000000"/>
          <w:sz w:val="22"/>
        </w:rPr>
        <w:t>shall mean each environmental indemnity made by each Loan Party with real property required to be pledged as Collateral in favor of the Administrative Agent for the benefit of the Secured Parties, in each case in form and substance satisfactory to the Administrative Agent.</w:t>
      </w:r>
    </w:p>
    <w:p>
      <w:pPr>
        <w:pStyle w:val="TextBody"/>
        <w:bidi w:val="0"/>
        <w:spacing w:before="240" w:after="283"/>
        <w:jc w:val="both"/>
        <w:rPr/>
      </w:pPr>
      <w:bookmarkStart w:id="121" w:name="xenvironmental_laws__shall_mean_all_appl"/>
      <w:bookmarkEnd w:id="121"/>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shall mean all applicable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pStyle w:val="TextBody"/>
        <w:bidi w:val="0"/>
        <w:spacing w:before="240" w:after="283"/>
        <w:jc w:val="both"/>
        <w:rPr/>
      </w:pPr>
      <w:bookmarkStart w:id="122" w:name="xenvironmental_liability__shall_mean_any"/>
      <w:bookmarkEnd w:id="122"/>
      <w:r>
        <w:rPr>
          <w:color w:val="000000"/>
        </w:rPr>
        <w:t>“</w:t>
      </w:r>
      <w:r>
        <w:rPr>
          <w:rFonts w:ascii="Times New Roman" w:hAnsi="Times New Roman"/>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shall mean any liability, contingent or otherwise (including any liability for damages, costs of environmental investigation and remediation, costs of administrative oversight, fines, natural resource damages, penalties or indemnities), of Holdings or any of its Subsidiaries directly or indirectly resulting from or based upon (a) any actual or alleged violation of any Environmental Law, (b) the generation, use, handling, transportation, storage, treatment or disposal of any Hazardous Materials, (c) any actual or alleged exposure to any Hazardous Materials, (d) the Release or threatened Release of any Hazardous Materials or (e) any contract, agreement or other consensual arrangement pursuant to which liability is assumed or imposed with respect to any of the foregoing.</w:t>
      </w:r>
    </w:p>
    <w:p>
      <w:pPr>
        <w:pStyle w:val="TextBody"/>
        <w:bidi w:val="0"/>
        <w:spacing w:before="240" w:after="283"/>
        <w:jc w:val="both"/>
        <w:rPr/>
      </w:pPr>
      <w:bookmarkStart w:id="123" w:name="xerisa__shall_mean_the_employee_retireme"/>
      <w:bookmarkEnd w:id="123"/>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shall mean the Employee Retirement Income Security Act of 1974 and any successor statute.</w:t>
      </w:r>
    </w:p>
    <w:p>
      <w:pPr>
        <w:pStyle w:val="TextBody"/>
        <w:bidi w:val="0"/>
        <w:spacing w:before="240" w:after="283"/>
        <w:jc w:val="both"/>
        <w:rPr/>
      </w:pPr>
      <w:bookmarkStart w:id="124" w:name="xerisa_affiliate__shall_mean_any_person_"/>
      <w:bookmarkEnd w:id="124"/>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shall mean any person that for purposes of Title I or Title IV of ERISA or Section 412 of the Code would be deemed at any relevant time to be a “single employer” or otherwise aggregated with Holdings or any of its Subsidiaries under Section 414(b), (c), (m) or (o) of the Code or Section 4001 of ERISA.</w:t>
      </w:r>
    </w:p>
    <w:p>
      <w:pPr>
        <w:pStyle w:val="TextBody"/>
        <w:bidi w:val="0"/>
        <w:spacing w:before="240" w:after="283"/>
        <w:jc w:val="both"/>
        <w:rPr/>
      </w:pPr>
      <w:bookmarkStart w:id="125" w:name="xerisa_event__shall_mean__i__any__report"/>
      <w:bookmarkEnd w:id="125"/>
      <w:r>
        <w:rPr>
          <w:color w:val="000000"/>
        </w:rPr>
        <w:t>“</w:t>
      </w:r>
      <w:r>
        <w:rPr>
          <w:rFonts w:ascii="Times New Roman" w:hAnsi="Times New Roman"/>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shall mean (i) any “reportable event” as defined in Section 4043 of ERISA with respect to a Plan (other than an event as to which the PBGC has waived under subsection .22, .23, .25, .27 or .28 of PBGC Regulation Section 4043 the requirement of Section 4043(a) of ERISA that it be notified of such event); (ii) any failure to make a required contribution to any Plan that would result in the imposition of a lien or other encumbrance or the provision of security under Section 430 of the Code or Section 303 or 4068 of ERISA, or the arising of such a lien or encumbrance, there being or arising any “unpaid minimum required contribution” (as defined or otherwise set forth in Section 4971 of the Code or Part 3 of Subtitle B of Title 1 of ERISA), whether or not waived, or any filing of any request for or receipt of a minimum funding waiver under Section 412 of the Code or Section 302 of ERISA with respect to any Plan or Multiemployer Plan, or that such filing may be made, or any determination that any Plan is, or is expected to be, in at-risk status under Title IV of ERISA; (iii) any incurrence by Holdings, any of its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Holdings, any of its Subsidiaries or any of their respective ERISA Affiliates of any liability with respect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withdrawal or partial withdrawal from any Multiemployer Plan, or the receipt by Holdings, any of its Subsidiaries or any of their respective ERISA Affiliates of any notice that a Multiemployer Plan is in endangered or critical status under Section 305 of ERISA; (vi) any receipt by Holdings, any of its Subsidiaries or any of their respective ERISA Affiliates of any notice, or any receipt by any Multiemployer Plan from Holdings, any of its Subsidiaries or any of their respective ERISA Affiliates of any notice, concerning the imposition of Withdrawal Liability or a determination that a Multiemployer Plan is, or is expected to be, insolvent, within the meaning of Title IV of ERISA; (vii) engaging in a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pStyle w:val="TextBody"/>
        <w:bidi w:val="0"/>
        <w:spacing w:before="240" w:after="283"/>
        <w:jc w:val="both"/>
        <w:rPr/>
      </w:pPr>
      <w:bookmarkStart w:id="126" w:name="xerroneous_payment__shall_have_the_meani"/>
      <w:bookmarkEnd w:id="126"/>
      <w:r>
        <w:rPr>
          <w:color w:val="000000"/>
        </w:rPr>
        <w:t>“</w:t>
      </w:r>
      <w:r>
        <w:rPr>
          <w:rFonts w:ascii="Times New Roman" w:hAnsi="Times New Roman"/>
          <w:color w:val="000000"/>
          <w:sz w:val="22"/>
          <w:u w:val="single"/>
        </w:rPr>
        <w:t>Erroneous Payment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9.15(a)</w:t>
      </w:r>
      <w:r>
        <w:rPr>
          <w:rFonts w:ascii="Times New Roman" w:hAnsi="Times New Roman"/>
          <w:color w:val="000000"/>
          <w:sz w:val="22"/>
        </w:rPr>
        <w:t>.</w:t>
      </w:r>
    </w:p>
    <w:p>
      <w:pPr>
        <w:pStyle w:val="TextBody"/>
        <w:bidi w:val="0"/>
        <w:spacing w:before="240" w:after="283"/>
        <w:jc w:val="both"/>
        <w:rPr/>
      </w:pPr>
      <w:bookmarkStart w:id="127" w:name="xerroneous_payment_deficiency_assignment"/>
      <w:bookmarkEnd w:id="127"/>
      <w:r>
        <w:rPr>
          <w:color w:val="000000"/>
        </w:rPr>
        <w:t>“</w:t>
      </w:r>
      <w:r>
        <w:rPr>
          <w:rFonts w:ascii="Times New Roman" w:hAnsi="Times New Roman"/>
          <w:color w:val="000000"/>
          <w:sz w:val="22"/>
          <w:u w:val="single"/>
        </w:rPr>
        <w:t>Erroneous Payment Deficiency Assignment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240" w:after="283"/>
        <w:jc w:val="both"/>
        <w:rPr/>
      </w:pPr>
      <w:bookmarkStart w:id="128" w:name="xerroneous_payment_impacted_class__shall"/>
      <w:bookmarkEnd w:id="128"/>
      <w:r>
        <w:rPr>
          <w:color w:val="000000"/>
        </w:rPr>
        <w:t>“</w:t>
      </w:r>
      <w:r>
        <w:rPr>
          <w:rFonts w:ascii="Times New Roman" w:hAnsi="Times New Roman"/>
          <w:color w:val="000000"/>
          <w:sz w:val="22"/>
          <w:u w:val="single"/>
        </w:rPr>
        <w:t>Erroneous Payment Impacted Class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240" w:after="283"/>
        <w:jc w:val="both"/>
        <w:rPr/>
      </w:pPr>
      <w:bookmarkStart w:id="129" w:name="xerroneous_payment_return_deficiency__sh"/>
      <w:bookmarkEnd w:id="129"/>
      <w:r>
        <w:rPr>
          <w:color w:val="000000"/>
        </w:rPr>
        <w:t>“</w:t>
      </w:r>
      <w:r>
        <w:rPr>
          <w:rFonts w:ascii="Times New Roman" w:hAnsi="Times New Roman"/>
          <w:color w:val="000000"/>
          <w:sz w:val="22"/>
          <w:u w:val="single"/>
        </w:rPr>
        <w:t>Erroneous Payment Return Deficiency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240" w:after="283"/>
        <w:jc w:val="both"/>
        <w:rPr/>
      </w:pPr>
      <w:bookmarkStart w:id="130" w:name="xerroneous_payment_subrogation_rights__s"/>
      <w:bookmarkEnd w:id="130"/>
      <w:r>
        <w:rPr>
          <w:color w:val="000000"/>
        </w:rPr>
        <w:t>“</w:t>
      </w:r>
      <w:r>
        <w:rPr>
          <w:rFonts w:ascii="Times New Roman" w:hAnsi="Times New Roman"/>
          <w:color w:val="000000"/>
          <w:sz w:val="22"/>
          <w:u w:val="single"/>
        </w:rPr>
        <w:t>Erroneous Payment Subrogation Rights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9.15(d)</w:t>
      </w:r>
      <w:r>
        <w:rPr>
          <w:rFonts w:ascii="Times New Roman" w:hAnsi="Times New Roman"/>
          <w:color w:val="000000"/>
          <w:sz w:val="22"/>
        </w:rPr>
        <w:t>.</w:t>
      </w:r>
    </w:p>
    <w:p>
      <w:pPr>
        <w:pStyle w:val="TextBody"/>
        <w:bidi w:val="0"/>
        <w:spacing w:before="240" w:after="283"/>
        <w:jc w:val="both"/>
        <w:rPr/>
      </w:pPr>
      <w:bookmarkStart w:id="131" w:name="xeu_bail_in_legislation_schedule__shall_"/>
      <w:bookmarkEnd w:id="131"/>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shall mean the EU Bail-In Legislation Schedule published by the Loan Market Association (or any successor Person), as in effect from time to time.</w:t>
      </w:r>
    </w:p>
    <w:p>
      <w:pPr>
        <w:pStyle w:val="TextBody"/>
        <w:bidi w:val="0"/>
        <w:spacing w:before="240" w:after="283"/>
        <w:jc w:val="both"/>
        <w:rPr/>
      </w:pPr>
      <w:bookmarkStart w:id="132" w:name="xevent_of_default__shall_have_the_meanin"/>
      <w:bookmarkEnd w:id="132"/>
      <w:r>
        <w:rPr>
          <w:color w:val="000000"/>
        </w:rPr>
        <w:t>“</w:t>
      </w:r>
      <w:r>
        <w:rPr>
          <w:rFonts w:ascii="Times New Roman" w:hAnsi="Times New Roman"/>
          <w:color w:val="000000"/>
          <w:sz w:val="22"/>
          <w:u w:val="single"/>
        </w:rPr>
        <w:t>Event of Default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spacing w:before="240" w:after="283"/>
        <w:jc w:val="both"/>
        <w:rPr/>
      </w:pPr>
      <w:bookmarkStart w:id="133" w:name="xexcluded_accounts__shall_mean__a__depos"/>
      <w:bookmarkEnd w:id="133"/>
      <w:r>
        <w:rPr>
          <w:color w:val="000000"/>
        </w:rPr>
        <w:t>“</w:t>
      </w:r>
      <w:r>
        <w:rPr>
          <w:rFonts w:ascii="Times New Roman" w:hAnsi="Times New Roman"/>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 xml:space="preserve">shall mean (a) deposit and/or securities accounts the balance of which consists exclusively of (i) withheld income taxes, federal, state or local employment taxes and sales taxes in such amounts as are required in the reasonable judgment of the Borrower to be paid to the IRS or state or local government agencies within the following two (2) months with respect to employees of any of the Loan Parties or (ii) amounts required to be paid over to an employee benefit plan pursuant to DOL Reg. Sec. 2510.3-102 on behalf of or for the benefit of employees of one or more Loan Parties, (b) employee benefit accounts (including 401(k) accounts and pension fund accounts), in each case, so long as such account is used solely for such purpose, (c) escrow defeasance and redemption accounts so long as any such account is used solely for such purposes, (d) fiduciary and trust accounts so long as any such account is used solely for such purposes, (e) deposit accounts solely holding cash collateral or other deposits that constitute Liens permitted by </w:t>
      </w:r>
      <w:r>
        <w:rPr>
          <w:rFonts w:ascii="Times New Roman" w:hAnsi="Times New Roman"/>
          <w:color w:val="000000"/>
          <w:sz w:val="22"/>
          <w:u w:val="single"/>
        </w:rPr>
        <w:t>Section 7.2</w:t>
      </w:r>
      <w:r>
        <w:rPr>
          <w:rFonts w:ascii="Times New Roman" w:hAnsi="Times New Roman"/>
          <w:color w:val="000000"/>
          <w:sz w:val="22"/>
        </w:rPr>
        <w:t xml:space="preserve">, (f) zero balance accounts, (g) any deposit and/or securities account maintained in a jurisdiction outside of the United States or owned by a Foreign Subsidiary of the Borrower, (h) accounts the balance of which consists exclusively of amounts to be paid to employees in the ordinary course of business and (i) other deposit accounts not held with Truist, any Lender or any of their respective Affiliates or subject to a control agreement in accordance with </w:t>
      </w:r>
      <w:r>
        <w:rPr>
          <w:rFonts w:ascii="Times New Roman" w:hAnsi="Times New Roman"/>
          <w:color w:val="000000"/>
          <w:sz w:val="22"/>
          <w:u w:val="single"/>
        </w:rPr>
        <w:t>Section 5.11(d)</w:t>
      </w:r>
      <w:r>
        <w:rPr>
          <w:rFonts w:ascii="Times New Roman" w:hAnsi="Times New Roman"/>
          <w:color w:val="000000"/>
          <w:sz w:val="20"/>
        </w:rPr>
        <w:t xml:space="preserve"> </w:t>
      </w:r>
      <w:r>
        <w:rPr>
          <w:rFonts w:ascii="Times New Roman" w:hAnsi="Times New Roman"/>
          <w:color w:val="000000"/>
          <w:sz w:val="22"/>
        </w:rPr>
        <w:t>with an aggregate average monthly balance of (for all such accounts taken together) less than $100,000.</w:t>
      </w:r>
    </w:p>
    <w:p>
      <w:pPr>
        <w:pStyle w:val="TextBody"/>
        <w:bidi w:val="0"/>
        <w:spacing w:before="240" w:after="283"/>
        <w:jc w:val="both"/>
        <w:rPr/>
      </w:pPr>
      <w:bookmarkStart w:id="134" w:name="xexcluded_property__shall_mean__with_res"/>
      <w:bookmarkEnd w:id="134"/>
      <w:r>
        <w:rPr>
          <w:color w:val="000000"/>
        </w:rPr>
        <w:t>“</w:t>
      </w:r>
      <w:r>
        <w:rPr>
          <w:rFonts w:ascii="Times New Roman" w:hAnsi="Times New Roman"/>
          <w:color w:val="000000"/>
          <w:sz w:val="22"/>
          <w:u w:val="single"/>
        </w:rPr>
        <w:t>Excluded Property</w:t>
      </w:r>
      <w:r>
        <w:rPr>
          <w:rFonts w:ascii="Times New Roman" w:hAnsi="Times New Roman"/>
          <w:color w:val="000000"/>
          <w:sz w:val="20"/>
        </w:rPr>
        <w:t xml:space="preserve">” </w:t>
      </w:r>
      <w:r>
        <w:rPr>
          <w:rFonts w:ascii="Times New Roman" w:hAnsi="Times New Roman"/>
          <w:color w:val="000000"/>
          <w:sz w:val="22"/>
        </w:rPr>
        <w:t>shall mean, with respect to any Loan Party, (a) any leased real property (including requirements to deliver landlord lien waivers, estoppels and collateral access letters), (b) any owned real property that does not constitute Material Real Property as determined on the Closing Date for existing real property and on the date of acquisition thereof for after-acquired real property (or the date of substantial completion of any material improvement thereon or new construction thereof, as applicable), (c) any governmental licenses or state or local franchises, charters and authorizations if, and to the extent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that and for so long as a security interest in such licenses, franchises, charters or authorizations are prohibited or restricted thereby after giving effect to the applicable anti-assignment provisions of the UCC of other applicable Law, (d) any asset if, to the extent that and for so long as the grant of a Lien thereon to secure the Obligations is prohibited by any applicable Law (including financial assistance, fraudulent conveyance preference, thin capitalization or similar laws, rules or regulations but other than to the extent that any such prohibition would be rendered ineffective pursuant to any applicable Law) or would require consent or approval of any Governmental Authority except to the extent such consent has been obtained (it being understood and agreed that no such consent shall be required to be obtained), (e) assets to the extent a security interest in such assets would result in material adverse tax consequences to Holdings or any of its Subsidiaries as reasonably determined by the Borrower in consultation with (but without the consent of) the Administrative Agent,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Law, (g) any lease, license or other agreement or contract or any property subject thereto (including pursuant to a purchase money security interest, Capital Lease Obligation or similar arrangement permitted under this Agreement) to the extent that a grant of a security interest therein would violate or invalidate such lease, license or agreement or contract or purchase money, capital lease or similar arrangement or create a right of termination in favor of any other party thereto (other than any Loan Party) after giving effect to the applicable anti-assignment provisions of the UCC or other applicable Law;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(x) such exclusion shall not be construed so as to limit, impair or otherwise affect the Administrative Agent’s security interest in or to monies due or to become due under such any contract, lease, license, agreement, (y) such lease, license, agreement or contract does not extend to any asset (other than the asset subject to such lease, license, agreement or contract) and (z) such lease, license, agreement or contract is not entered into, or right of consent or approval created, with the primary intent of circumventing any obligation to secure the Obligations hereunder, (h) voting Capital Stock of Subsidiaries not required to be pledged under </w:t>
      </w:r>
      <w:r>
        <w:rPr>
          <w:rFonts w:ascii="Times New Roman" w:hAnsi="Times New Roman"/>
          <w:color w:val="000000"/>
          <w:sz w:val="22"/>
          <w:u w:val="single"/>
        </w:rPr>
        <w:t>Section 5.11(a)</w:t>
      </w:r>
      <w:r>
        <w:rPr>
          <w:rFonts w:ascii="Times New Roman" w:hAnsi="Times New Roman"/>
          <w:color w:val="000000"/>
          <w:sz w:val="22"/>
        </w:rPr>
        <w:t xml:space="preserve">, (i) motor vehicles, aircraft, aircraft engines, and other assets subject to certificates of title where perfection may not be obtained solely by the filing of a UCC financing statement, (j) Excluded Accounts, (k) to the extent prohibited by, or creating an enforceable right of termination in favor of any other party thereto (other than Holdings, the Borrower or any of Holdings’ Wholly-Owned Subsidiaries), under the terms of any applicable Organization Documents, joint venture agreement or shareholders’ agreement in effect (A) on the Closing Date or (B) on the date on which such Capital Stock is acquired (other than any such agreement entered into in contemplation of this Agreement in order that such Capital Stock would constitute Excluded Property hereunder), Capital Stock in any Person other than the Borrower and Wholly-Owned Subsidiaries of Holdings, (l) “margin stock” (as such term is defined under Regulation U) and (m) those other assets as to which the Administrative Agent and the Borrower reasonably agree in writing that the cost of obtaining such a security interest or perfection thereof is excessive in relation to the benefit to the Lenders of the security to be afforded thereby. Notwithstanding the foregoing, (i) Excluded Property shall not include the proceeds, products, substitutions or replacements of any Excluded Property (except to the extent that such proceeds, products, substitutions or replacements shall themselves constitute Excluded Property) and (ii) in the event that any limitation, restriction, impairment, termination right, exclusion or any other adverse consequence, under </w:t>
      </w:r>
      <w:r>
        <w:rPr>
          <w:rFonts w:ascii="Times New Roman" w:hAnsi="Times New Roman"/>
          <w:color w:val="000000"/>
          <w:sz w:val="22"/>
          <w:u w:val="single"/>
        </w:rPr>
        <w:t>clauses (c)</w:t>
      </w:r>
      <w:r>
        <w:rPr>
          <w:rFonts w:ascii="Times New Roman" w:hAnsi="Times New Roman"/>
          <w:color w:val="000000"/>
          <w:sz w:val="22"/>
        </w:rPr>
        <w:t xml:space="preserve">, </w:t>
      </w:r>
      <w:r>
        <w:rPr>
          <w:rFonts w:ascii="Times New Roman" w:hAnsi="Times New Roman"/>
          <w:color w:val="000000"/>
          <w:sz w:val="22"/>
          <w:u w:val="single"/>
        </w:rPr>
        <w:t>(d)</w:t>
      </w:r>
      <w:r>
        <w:rPr>
          <w:rFonts w:ascii="Times New Roman" w:hAnsi="Times New Roman"/>
          <w:color w:val="000000"/>
          <w:sz w:val="22"/>
        </w:rPr>
        <w:t xml:space="preserve">, </w:t>
      </w:r>
      <w:r>
        <w:rPr>
          <w:rFonts w:ascii="Times New Roman" w:hAnsi="Times New Roman"/>
          <w:color w:val="000000"/>
          <w:sz w:val="22"/>
          <w:u w:val="single"/>
        </w:rPr>
        <w:t>(e)</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2"/>
        </w:rPr>
        <w:t xml:space="preserve">, </w:t>
      </w:r>
      <w:r>
        <w:rPr>
          <w:rFonts w:ascii="Times New Roman" w:hAnsi="Times New Roman"/>
          <w:color w:val="000000"/>
          <w:sz w:val="22"/>
          <w:u w:val="single"/>
        </w:rPr>
        <w:t>(g)</w:t>
      </w:r>
      <w:r>
        <w:rPr>
          <w:rFonts w:ascii="Times New Roman" w:hAnsi="Times New Roman"/>
          <w:color w:val="000000"/>
          <w:sz w:val="22"/>
        </w:rPr>
        <w:t xml:space="preserve">, </w:t>
      </w:r>
      <w:r>
        <w:rPr>
          <w:rFonts w:ascii="Times New Roman" w:hAnsi="Times New Roman"/>
          <w:color w:val="000000"/>
          <w:sz w:val="22"/>
          <w:u w:val="single"/>
        </w:rPr>
        <w:t>(j)</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(k)</w:t>
      </w:r>
      <w:r>
        <w:rPr>
          <w:rFonts w:ascii="Times New Roman" w:hAnsi="Times New Roman"/>
          <w:color w:val="000000"/>
          <w:sz w:val="20"/>
        </w:rPr>
        <w:t xml:space="preserve"> </w:t>
      </w:r>
      <w:r>
        <w:rPr>
          <w:rFonts w:ascii="Times New Roman" w:hAnsi="Times New Roman"/>
          <w:color w:val="000000"/>
          <w:sz w:val="22"/>
        </w:rPr>
        <w:t>above ceases to exist (or any required consent shall have been obtained), then such excluded Property shall immediately and automatically be deemed at all times thereafter to constitute Collateral without further action hereunder.</w:t>
      </w:r>
    </w:p>
    <w:p>
      <w:pPr>
        <w:pStyle w:val="TextBody"/>
        <w:bidi w:val="0"/>
        <w:spacing w:before="240" w:after="283"/>
        <w:jc w:val="both"/>
        <w:rPr/>
      </w:pPr>
      <w:bookmarkStart w:id="135" w:name="xexcluded_subsidiary__shall_mean_any_of_"/>
      <w:bookmarkEnd w:id="135"/>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shall mean any of the following: (a) any Subsidiary that is not a Wholly-Owned Subsidiary of Holdings, (b) each Foreign Subsidiary, (c) each Immaterial Subsidiary, (d) any Subsidiary that is prohibited by (i) applicable Law or (ii) any Contractual Obligation existing on the Closing Date or on the date any such Subsidiary is acquired (so long as in respect of any such contractual prohibition, such prohibition is not incurred in contemplation of such acquisition or the entry into this Agreement and the other Loan Documents), in each case, from guaranteeing the Obligations or which would require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governmental (including regulatory) consent, approval, license or authorization to provide a Guarantee (unless such consent, approval, license or authorization has been received), or for which the provision of a Guarantee could reasonably be expected to result in a material adverse tax consequence (including as a result of the operation of Section 956 of the Code or any similar law or regulation in any applicable jurisdiction) to Holdings or one of its Subsidiaries (as reasonably determined by Borrower in good faith), (e) any direct or indirect Domestic Subsidiary of a direct or indirect Foreign Subsidiary of Holdings that is a CFC, (f) any FSHCO, (g) any Subsidiary that is a special purpose entity designated by the Borrower from time to time as a not-for-profit Subsidiary, (h) any broker dealer Subsidiary, (i) captive insurance companies, (j) until required by </w:t>
      </w:r>
      <w:r>
        <w:rPr>
          <w:rFonts w:ascii="Times New Roman" w:hAnsi="Times New Roman"/>
          <w:color w:val="000000"/>
          <w:sz w:val="22"/>
          <w:u w:val="single"/>
        </w:rPr>
        <w:t>Section 5.11(g)</w:t>
      </w:r>
      <w:r>
        <w:rPr>
          <w:rFonts w:ascii="Times New Roman" w:hAnsi="Times New Roman"/>
          <w:color w:val="000000"/>
          <w:sz w:val="20"/>
        </w:rPr>
        <w:t xml:space="preserve"> </w:t>
      </w:r>
      <w:r>
        <w:rPr>
          <w:rFonts w:ascii="Times New Roman" w:hAnsi="Times New Roman"/>
          <w:color w:val="000000"/>
          <w:sz w:val="22"/>
        </w:rPr>
        <w:t xml:space="preserve">to become a Guarantor, each of F.H. Investments, 237 Cahaba Valley, and Advanced Formulations Pharmacy, and (k) any other Subsidiary as to which the Administrative Agent and the Borrower reasonably agree in writing that the cost of providing a Guarantee with respect to the Obligations is excessive in relation to the value afforded thereby;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anything to the contrary in the foregoing, (x) any Subsidiary that is a Guarantor shall not be an Excluded Subsidiary and shall remain a Guarantor if at any time after it becomes a Guarantor it ceases to be a Wholly-Owned Subsidiary and (y) any Subsidiary owning rights in respect of any registered or applied for intellectual property material to the operations or business of Holdings and its Subsidiaries shall not constitute an Excluded Subsidiary. Notwithstanding anything to the contrary set forth in this definition, neither Holdings nor the Borrower shall constitute an Excluded Subsidiary at any time.</w:t>
      </w:r>
    </w:p>
    <w:p>
      <w:pPr>
        <w:pStyle w:val="TextBody"/>
        <w:bidi w:val="0"/>
        <w:spacing w:before="240" w:after="283"/>
        <w:jc w:val="both"/>
        <w:rPr/>
      </w:pPr>
      <w:bookmarkStart w:id="136" w:name="xexcluded_swap_obligation__shall_mean__w"/>
      <w:bookmarkEnd w:id="136"/>
      <w:r>
        <w:rPr>
          <w:color w:val="000000"/>
        </w:rPr>
        <w:t>“</w:t>
      </w:r>
      <w:r>
        <w:rPr>
          <w:rFonts w:ascii="Times New Roman" w:hAnsi="Times New Roman"/>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 xml:space="preserve">shall mean, with respect to any Guarantor, any Swap Obligation if, and to the extent that, all or a portion of the Guaranty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by such Guarantor of a security interest, becomes effective with respect to such Swap Obligation;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for the avoidance of doubt, in determining whether any Guarantor is an “eligible contract participant” under the Commodity Exchange Act, the keepwell agreement set forth in </w:t>
      </w:r>
      <w:r>
        <w:rPr>
          <w:rFonts w:ascii="Times New Roman" w:hAnsi="Times New Roman"/>
          <w:color w:val="000000"/>
          <w:sz w:val="22"/>
          <w:u w:val="single"/>
        </w:rPr>
        <w:t>Section 10.8</w:t>
      </w:r>
      <w:r>
        <w:rPr>
          <w:rFonts w:ascii="Times New Roman" w:hAnsi="Times New Roman"/>
          <w:color w:val="000000"/>
          <w:sz w:val="20"/>
        </w:rPr>
        <w:t xml:space="preserve"> </w:t>
      </w:r>
      <w:r>
        <w:rPr>
          <w:rFonts w:ascii="Times New Roman" w:hAnsi="Times New Roman"/>
          <w:color w:val="000000"/>
          <w:sz w:val="22"/>
        </w:rPr>
        <w:t>shall be taken into account. If a Swap Obligation arises under a Master Agreement governing more than one Hedging Transaction, such exclusion shall apply only to the portion of such Swap Obligation that is attributable to Hedging Transactions for which such Guaranty or security interest is or becomes excluded in accordance with the first sentence of this definition.</w:t>
      </w:r>
    </w:p>
    <w:p>
      <w:pPr>
        <w:pStyle w:val="TextBody"/>
        <w:bidi w:val="0"/>
        <w:spacing w:before="240" w:after="283"/>
        <w:jc w:val="both"/>
        <w:rPr/>
      </w:pPr>
      <w:bookmarkStart w:id="137" w:name="xexcluded_taxes__shall_mean_any_of_the_f"/>
      <w:bookmarkEnd w:id="137"/>
      <w:r>
        <w:rPr>
          <w:color w:val="000000"/>
        </w:rPr>
        <w:t>“</w:t>
      </w:r>
      <w:r>
        <w:rPr>
          <w:rFonts w:ascii="Times New Roman" w:hAnsi="Times New Roman"/>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 xml:space="preserve">shall mean any of the following Taxes imposed on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color w:val="000000"/>
          <w:sz w:val="22"/>
          <w:u w:val="single"/>
        </w:rPr>
        <w:t>Section 2.25</w:t>
      </w:r>
      <w:r>
        <w:rPr>
          <w:rFonts w:ascii="Times New Roman" w:hAnsi="Times New Roman"/>
          <w:color w:val="000000"/>
          <w:sz w:val="22"/>
        </w:rPr>
        <w:t xml:space="preserve">) or (ii) such Lender changes its lending office, except in each case to the extent that, pursuant to </w:t>
      </w:r>
      <w:r>
        <w:rPr>
          <w:rFonts w:ascii="Times New Roman" w:hAnsi="Times New Roman"/>
          <w:color w:val="000000"/>
          <w:sz w:val="22"/>
          <w:u w:val="single"/>
        </w:rPr>
        <w:t>Section 2.20</w:t>
      </w:r>
      <w:r>
        <w:rPr>
          <w:rFonts w:ascii="Times New Roman" w:hAnsi="Times New Roman"/>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olor w:val="000000"/>
          <w:sz w:val="22"/>
          <w:u w:val="single"/>
        </w:rPr>
        <w:t>Section 2.20(g)</w:t>
      </w:r>
      <w:r>
        <w:rPr>
          <w:rFonts w:ascii="Times New Roman" w:hAnsi="Times New Roman"/>
          <w:color w:val="000000"/>
          <w:sz w:val="20"/>
        </w:rPr>
        <w:t xml:space="preserve"> </w:t>
      </w:r>
      <w:r>
        <w:rPr>
          <w:rFonts w:ascii="Times New Roman" w:hAnsi="Times New Roman"/>
          <w:color w:val="000000"/>
          <w:sz w:val="22"/>
        </w:rPr>
        <w:t>and (d) any withholding Taxes imposed under FATCA.</w:t>
      </w:r>
    </w:p>
    <w:p>
      <w:pPr>
        <w:pStyle w:val="TextBody"/>
        <w:bidi w:val="0"/>
        <w:spacing w:before="240" w:after="283"/>
        <w:jc w:val="both"/>
        <w:rPr/>
      </w:pPr>
      <w:bookmarkStart w:id="138" w:name="xexisting_credit_agreement__shall_have_t"/>
      <w:bookmarkEnd w:id="138"/>
      <w:r>
        <w:rPr>
          <w:color w:val="000000"/>
        </w:rPr>
        <w:t>“</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shall have the meaning set forth in the recitals hereof.</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139" w:name="xfatca__shall_mean_sections_1471_through"/>
      <w:bookmarkEnd w:id="139"/>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240" w:after="283"/>
        <w:jc w:val="both"/>
        <w:rPr/>
      </w:pPr>
      <w:bookmarkStart w:id="140" w:name="xfda__shall_mean_the_united_states_food_"/>
      <w:bookmarkEnd w:id="140"/>
      <w:r>
        <w:rPr>
          <w:color w:val="000000"/>
        </w:rPr>
        <w:t>“</w:t>
      </w:r>
      <w:r>
        <w:rPr>
          <w:rFonts w:ascii="Times New Roman" w:hAnsi="Times New Roman"/>
          <w:color w:val="000000"/>
          <w:sz w:val="22"/>
          <w:u w:val="single"/>
        </w:rPr>
        <w:t>FDA</w:t>
      </w:r>
      <w:r>
        <w:rPr>
          <w:rFonts w:ascii="Times New Roman" w:hAnsi="Times New Roman"/>
          <w:color w:val="000000"/>
          <w:sz w:val="20"/>
        </w:rPr>
        <w:t xml:space="preserve">” </w:t>
      </w:r>
      <w:r>
        <w:rPr>
          <w:rFonts w:ascii="Times New Roman" w:hAnsi="Times New Roman"/>
          <w:color w:val="000000"/>
          <w:sz w:val="22"/>
        </w:rPr>
        <w:t>shall mean the United States Food and Drug Administration, or any successor Governmental Authority.</w:t>
      </w:r>
    </w:p>
    <w:p>
      <w:pPr>
        <w:pStyle w:val="TextBody"/>
        <w:bidi w:val="0"/>
        <w:spacing w:before="240" w:after="283"/>
        <w:jc w:val="both"/>
        <w:rPr/>
      </w:pPr>
      <w:bookmarkStart w:id="141" w:name="xfda_law_and_regulations__shall_mean_the"/>
      <w:bookmarkEnd w:id="141"/>
      <w:r>
        <w:rPr>
          <w:color w:val="000000"/>
        </w:rPr>
        <w:t>“</w:t>
      </w:r>
      <w:r>
        <w:rPr>
          <w:rFonts w:ascii="Times New Roman" w:hAnsi="Times New Roman"/>
          <w:color w:val="000000"/>
          <w:sz w:val="22"/>
          <w:u w:val="single"/>
        </w:rPr>
        <w:t>FDA Law and Regulations</w:t>
      </w:r>
      <w:r>
        <w:rPr>
          <w:rFonts w:ascii="Times New Roman" w:hAnsi="Times New Roman"/>
          <w:color w:val="000000"/>
          <w:sz w:val="20"/>
        </w:rPr>
        <w:t xml:space="preserve">” </w:t>
      </w:r>
      <w:r>
        <w:rPr>
          <w:rFonts w:ascii="Times New Roman" w:hAnsi="Times New Roman"/>
          <w:color w:val="000000"/>
          <w:sz w:val="22"/>
        </w:rPr>
        <w:t xml:space="preserve">shall mean the Federal Food, Drug, and Cosmetic Act, 21 U.S.C. § § 301 </w:t>
      </w:r>
      <w:r>
        <w:rPr>
          <w:rFonts w:ascii="Times New Roman" w:hAnsi="Times New Roman"/>
          <w:i/>
          <w:color w:val="000000"/>
          <w:sz w:val="22"/>
        </w:rPr>
        <w:t>et seq</w:t>
      </w:r>
      <w:r>
        <w:rPr>
          <w:rFonts w:ascii="Times New Roman" w:hAnsi="Times New Roman"/>
          <w:color w:val="000000"/>
          <w:sz w:val="22"/>
        </w:rPr>
        <w:t>., as amended and all applicable regulations promulgated by the FDA.</w:t>
      </w:r>
    </w:p>
    <w:p>
      <w:pPr>
        <w:pStyle w:val="TextBody"/>
        <w:bidi w:val="0"/>
        <w:spacing w:before="240" w:after="283"/>
        <w:jc w:val="both"/>
        <w:rPr/>
      </w:pPr>
      <w:bookmarkStart w:id="142" w:name="xfederal_funds_rate__shall_mean__for_any"/>
      <w:bookmarkEnd w:id="142"/>
      <w:r>
        <w:rPr>
          <w:color w:val="000000"/>
        </w:rPr>
        <w:t>“</w:t>
      </w:r>
      <w:r>
        <w:rPr>
          <w:rFonts w:ascii="Times New Roman" w:hAnsi="Times New Roman"/>
          <w:color w:val="000000"/>
          <w:sz w:val="22"/>
          <w:u w:val="single"/>
        </w:rPr>
        <w:t>Federal Funds Rate</w:t>
      </w:r>
      <w:r>
        <w:rPr>
          <w:rFonts w:ascii="Times New Roman" w:hAnsi="Times New Roman"/>
          <w:color w:val="000000"/>
          <w:sz w:val="20"/>
        </w:rPr>
        <w:t xml:space="preserve">” </w:t>
      </w:r>
      <w:r>
        <w:rPr>
          <w:rFonts w:ascii="Times New Roman" w:hAnsi="Times New Roman"/>
          <w:color w:val="000000"/>
          <w:sz w:val="22"/>
        </w:rPr>
        <w:t xml:space="preserve">shall mean, for any day, the rate </w:t>
      </w:r>
      <w:r>
        <w:rPr>
          <w:rFonts w:ascii="Times New Roman" w:hAnsi="Times New Roman"/>
          <w:i/>
          <w:color w:val="000000"/>
          <w:sz w:val="22"/>
        </w:rPr>
        <w:t xml:space="preserve">per annum </w:t>
      </w:r>
      <w:r>
        <w:rPr>
          <w:rFonts w:ascii="Times New Roman" w:hAnsi="Times New Roman"/>
          <w:color w:val="000000"/>
          <w:sz w:val="22"/>
        </w:rPr>
        <w:t>(rounded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Rate shall not be less than zero percent (0%).</w:t>
      </w:r>
    </w:p>
    <w:p>
      <w:pPr>
        <w:pStyle w:val="TextBody"/>
        <w:bidi w:val="0"/>
        <w:spacing w:before="240" w:after="283"/>
        <w:jc w:val="both"/>
        <w:rPr/>
      </w:pPr>
      <w:bookmarkStart w:id="143" w:name="xfee_letter__shall_mean_that_certain_fee"/>
      <w:bookmarkEnd w:id="143"/>
      <w:r>
        <w:rPr>
          <w:color w:val="000000"/>
        </w:rPr>
        <w:t>“</w:t>
      </w:r>
      <w:r>
        <w:rPr>
          <w:rFonts w:ascii="Times New Roman" w:hAnsi="Times New Roman"/>
          <w:color w:val="000000"/>
          <w:sz w:val="22"/>
          <w:u w:val="single"/>
        </w:rPr>
        <w:t>Fee Letter</w:t>
      </w:r>
      <w:r>
        <w:rPr>
          <w:rFonts w:ascii="Times New Roman" w:hAnsi="Times New Roman"/>
          <w:color w:val="000000"/>
          <w:sz w:val="20"/>
        </w:rPr>
        <w:t xml:space="preserve">” </w:t>
      </w:r>
      <w:r>
        <w:rPr>
          <w:rFonts w:ascii="Times New Roman" w:hAnsi="Times New Roman"/>
          <w:color w:val="000000"/>
          <w:sz w:val="22"/>
        </w:rPr>
        <w:t>shall mean that certain fee letter, dated as of April 2, 2026, executed by Truist Securities, Inc. and Truist Bank and accepted by Borrower.</w:t>
      </w:r>
    </w:p>
    <w:p>
      <w:pPr>
        <w:pStyle w:val="TextBody"/>
        <w:bidi w:val="0"/>
        <w:spacing w:before="240" w:after="283"/>
        <w:jc w:val="both"/>
        <w:rPr/>
      </w:pPr>
      <w:bookmarkStart w:id="144" w:name="xfirst_lien_intercreditor_agreement__sha"/>
      <w:bookmarkEnd w:id="144"/>
      <w:r>
        <w:rPr>
          <w:color w:val="000000"/>
        </w:rPr>
        <w:t>“</w:t>
      </w:r>
      <w:r>
        <w:rPr>
          <w:rFonts w:ascii="Times New Roman" w:hAnsi="Times New Roman"/>
          <w:color w:val="000000"/>
          <w:sz w:val="22"/>
          <w:u w:val="single"/>
        </w:rPr>
        <w:t>First Lien Intercreditor Agreement</w:t>
      </w:r>
      <w:r>
        <w:rPr>
          <w:rFonts w:ascii="Times New Roman" w:hAnsi="Times New Roman"/>
          <w:color w:val="000000"/>
          <w:sz w:val="20"/>
        </w:rPr>
        <w:t xml:space="preserve">” </w:t>
      </w:r>
      <w:r>
        <w:rPr>
          <w:rFonts w:ascii="Times New Roman" w:hAnsi="Times New Roman"/>
          <w:color w:val="000000"/>
          <w:sz w:val="22"/>
        </w:rPr>
        <w:t>shall mean an Intercreditor Agreement entered into among the Administrative Agent and one or more Senior Representatives for holders of Indebtedness secured by Liens on the Collateral that rank equal in priority to the Liens securing the Obligations (and acknowledged by the Loan Parties), with such modifications thereto as the Administrative Agent and the Borrower may reasonably agree.</w:t>
      </w:r>
    </w:p>
    <w:p>
      <w:pPr>
        <w:pStyle w:val="TextBody"/>
        <w:bidi w:val="0"/>
        <w:spacing w:before="240" w:after="283"/>
        <w:jc w:val="both"/>
        <w:rPr/>
      </w:pPr>
      <w:bookmarkStart w:id="145" w:name="xfiscal_quarter__shall_mean_any_fiscal_q"/>
      <w:bookmarkEnd w:id="145"/>
      <w:r>
        <w:rPr>
          <w:color w:val="000000"/>
        </w:rPr>
        <w:t>“</w:t>
      </w:r>
      <w:r>
        <w:rPr>
          <w:rFonts w:ascii="Times New Roman" w:hAnsi="Times New Roman"/>
          <w:color w:val="000000"/>
          <w:sz w:val="22"/>
          <w:u w:val="single"/>
        </w:rPr>
        <w:t>Fiscal Quarter</w:t>
      </w:r>
      <w:r>
        <w:rPr>
          <w:rFonts w:ascii="Times New Roman" w:hAnsi="Times New Roman"/>
          <w:color w:val="000000"/>
          <w:sz w:val="20"/>
        </w:rPr>
        <w:t xml:space="preserve">” </w:t>
      </w:r>
      <w:r>
        <w:rPr>
          <w:rFonts w:ascii="Times New Roman" w:hAnsi="Times New Roman"/>
          <w:color w:val="000000"/>
          <w:sz w:val="22"/>
        </w:rPr>
        <w:t>shall mean any fiscal quarter of Holdings.</w:t>
      </w:r>
    </w:p>
    <w:p>
      <w:pPr>
        <w:pStyle w:val="TextBody"/>
        <w:bidi w:val="0"/>
        <w:spacing w:before="240" w:after="283"/>
        <w:jc w:val="both"/>
        <w:rPr/>
      </w:pPr>
      <w:bookmarkStart w:id="146" w:name="xfiscal_year__shall_mean_any_fiscal_year"/>
      <w:bookmarkEnd w:id="146"/>
      <w:r>
        <w:rPr>
          <w:color w:val="000000"/>
        </w:rPr>
        <w:t>“</w:t>
      </w:r>
      <w:r>
        <w:rPr>
          <w:rFonts w:ascii="Times New Roman" w:hAnsi="Times New Roman"/>
          <w:color w:val="000000"/>
          <w:sz w:val="22"/>
          <w:u w:val="single"/>
        </w:rPr>
        <w:t>Fiscal Year</w:t>
      </w:r>
      <w:r>
        <w:rPr>
          <w:rFonts w:ascii="Times New Roman" w:hAnsi="Times New Roman"/>
          <w:color w:val="000000"/>
          <w:sz w:val="20"/>
        </w:rPr>
        <w:t xml:space="preserve">” </w:t>
      </w:r>
      <w:r>
        <w:rPr>
          <w:rFonts w:ascii="Times New Roman" w:hAnsi="Times New Roman"/>
          <w:color w:val="000000"/>
          <w:sz w:val="22"/>
        </w:rPr>
        <w:t>shall mean any fiscal year of Holdings.</w:t>
      </w:r>
    </w:p>
    <w:p>
      <w:pPr>
        <w:pStyle w:val="TextBody"/>
        <w:bidi w:val="0"/>
        <w:spacing w:before="240" w:after="283"/>
        <w:jc w:val="both"/>
        <w:rPr/>
      </w:pPr>
      <w:bookmarkStart w:id="147" w:name="xfloor__shall_mean_a_rate_of_interest_eq"/>
      <w:bookmarkEnd w:id="147"/>
      <w:r>
        <w:rPr>
          <w:color w:val="000000"/>
        </w:rPr>
        <w:t>“</w:t>
      </w:r>
      <w:r>
        <w:rPr>
          <w:rFonts w:ascii="Times New Roman" w:hAnsi="Times New Roman"/>
          <w:color w:val="000000"/>
          <w:sz w:val="22"/>
          <w:u w:val="single"/>
        </w:rPr>
        <w:t>Floor</w:t>
      </w:r>
      <w:r>
        <w:rPr>
          <w:rFonts w:ascii="Times New Roman" w:hAnsi="Times New Roman"/>
          <w:color w:val="000000"/>
          <w:sz w:val="20"/>
        </w:rPr>
        <w:t xml:space="preserve">” </w:t>
      </w:r>
      <w:r>
        <w:rPr>
          <w:rFonts w:ascii="Times New Roman" w:hAnsi="Times New Roman"/>
          <w:color w:val="000000"/>
          <w:sz w:val="22"/>
        </w:rPr>
        <w:t>shall mean a rate of interest equal to 0.00%.</w:t>
      </w:r>
    </w:p>
    <w:p>
      <w:pPr>
        <w:pStyle w:val="TextBody"/>
        <w:bidi w:val="0"/>
        <w:spacing w:before="240" w:after="283"/>
        <w:jc w:val="both"/>
        <w:rPr/>
      </w:pPr>
      <w:bookmarkStart w:id="148" w:name="xforeign_lender__shall_mean__a__if_the_b"/>
      <w:bookmarkEnd w:id="148"/>
      <w:r>
        <w:rPr>
          <w:color w:val="000000"/>
        </w:rPr>
        <w:t>“</w:t>
      </w:r>
      <w:r>
        <w:rPr>
          <w:rFonts w:ascii="Times New Roman" w:hAnsi="Times New Roman"/>
          <w:color w:val="000000"/>
          <w:sz w:val="22"/>
          <w:u w:val="single"/>
        </w:rPr>
        <w:t>Foreign Lender</w:t>
      </w:r>
      <w:r>
        <w:rPr>
          <w:rFonts w:ascii="Times New Roman" w:hAnsi="Times New Roman"/>
          <w:color w:val="000000"/>
          <w:sz w:val="20"/>
        </w:rPr>
        <w:t xml:space="preserve">” </w:t>
      </w:r>
      <w:r>
        <w:rPr>
          <w:rFonts w:ascii="Times New Roman" w:hAnsi="Times New Roman"/>
          <w:color w:val="000000"/>
          <w:sz w:val="22"/>
        </w:rPr>
        <w:t>shall mean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240" w:after="283"/>
        <w:jc w:val="both"/>
        <w:rPr/>
      </w:pPr>
      <w:bookmarkStart w:id="149" w:name="xforeign_prepayment_event__shall_have_th"/>
      <w:bookmarkEnd w:id="149"/>
      <w:r>
        <w:rPr>
          <w:color w:val="000000"/>
        </w:rPr>
        <w:t>“</w:t>
      </w:r>
      <w:r>
        <w:rPr>
          <w:rFonts w:ascii="Times New Roman" w:hAnsi="Times New Roman"/>
          <w:color w:val="000000"/>
          <w:sz w:val="22"/>
          <w:u w:val="single"/>
        </w:rPr>
        <w:t>Foreign Prepayment Event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2.12(d)</w:t>
      </w:r>
      <w:r>
        <w:rPr>
          <w:rFonts w:ascii="Times New Roman" w:hAnsi="Times New Roman"/>
          <w:color w:val="000000"/>
          <w:sz w:val="22"/>
        </w:rPr>
        <w:t>.</w:t>
      </w:r>
    </w:p>
    <w:p>
      <w:pPr>
        <w:pStyle w:val="TextBody"/>
        <w:bidi w:val="0"/>
        <w:spacing w:before="240" w:after="283"/>
        <w:jc w:val="both"/>
        <w:rPr/>
      </w:pPr>
      <w:bookmarkStart w:id="150" w:name="xforeign_subsidiary__shall_mean_any_subs"/>
      <w:bookmarkEnd w:id="150"/>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shall mean any Subsidiary of Holdings that is not a Domestic Subsidiary.</w:t>
      </w:r>
    </w:p>
    <w:p>
      <w:pPr>
        <w:pStyle w:val="TextBody"/>
        <w:bidi w:val="0"/>
        <w:spacing w:before="240" w:after="283"/>
        <w:jc w:val="both"/>
        <w:rPr/>
      </w:pPr>
      <w:bookmarkStart w:id="151" w:name="xf_h__investments__shall_mean_f_h_invest"/>
      <w:bookmarkEnd w:id="151"/>
      <w:r>
        <w:rPr>
          <w:color w:val="000000"/>
        </w:rPr>
        <w:t>“</w:t>
      </w:r>
      <w:r>
        <w:rPr>
          <w:rFonts w:ascii="Times New Roman" w:hAnsi="Times New Roman"/>
          <w:color w:val="000000"/>
          <w:sz w:val="22"/>
          <w:u w:val="single"/>
        </w:rPr>
        <w:t>F.H. Investments</w:t>
      </w:r>
      <w:r>
        <w:rPr>
          <w:rFonts w:ascii="Times New Roman" w:hAnsi="Times New Roman"/>
          <w:color w:val="000000"/>
          <w:sz w:val="20"/>
        </w:rPr>
        <w:t xml:space="preserve">” </w:t>
      </w:r>
      <w:r>
        <w:rPr>
          <w:rFonts w:ascii="Times New Roman" w:hAnsi="Times New Roman"/>
          <w:color w:val="000000"/>
          <w:sz w:val="22"/>
        </w:rPr>
        <w:t>shall mean F.H Investments, Inc., an Alabama corporation.</w:t>
      </w:r>
    </w:p>
    <w:p>
      <w:pPr>
        <w:pStyle w:val="TextBody"/>
        <w:bidi w:val="0"/>
        <w:spacing w:before="240" w:after="283"/>
        <w:jc w:val="both"/>
        <w:rPr/>
      </w:pPr>
      <w:bookmarkStart w:id="152" w:name="xfshco__shall_mean_any_direct_or_indirec"/>
      <w:bookmarkEnd w:id="152"/>
      <w:r>
        <w:rPr>
          <w:color w:val="000000"/>
        </w:rPr>
        <w:t>“</w:t>
      </w:r>
      <w:r>
        <w:rPr>
          <w:rFonts w:ascii="Times New Roman" w:hAnsi="Times New Roman"/>
          <w:color w:val="000000"/>
          <w:sz w:val="22"/>
          <w:u w:val="single"/>
        </w:rPr>
        <w:t>FSHCO</w:t>
      </w:r>
      <w:r>
        <w:rPr>
          <w:rFonts w:ascii="Times New Roman" w:hAnsi="Times New Roman"/>
          <w:color w:val="000000"/>
          <w:sz w:val="20"/>
        </w:rPr>
        <w:t xml:space="preserve">” </w:t>
      </w:r>
      <w:r>
        <w:rPr>
          <w:rFonts w:ascii="Times New Roman" w:hAnsi="Times New Roman"/>
          <w:color w:val="000000"/>
          <w:sz w:val="22"/>
        </w:rPr>
        <w:t>shall mean any direct or indirect Domestic Subsidiary of Holdings (other than the Borrower) that has no material assets other than the Capital Stock (including, for this purpose, any debt or other instrument treated as equity for U.S. federal income tax purposes) in one or more direct Foreign Subsidiaries that are CFCs.</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153" w:name="xgaap__shall_mean_generally_accepted_acc"/>
      <w:bookmarkEnd w:id="153"/>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 xml:space="preserve">shall mean generally accepted accounting principles in the United States applied on a consistent basis and subject to the terms of </w:t>
      </w:r>
      <w:r>
        <w:rPr>
          <w:rFonts w:ascii="Times New Roman" w:hAnsi="Times New Roman"/>
          <w:color w:val="000000"/>
          <w:sz w:val="22"/>
          <w:u w:val="single"/>
        </w:rPr>
        <w:t>Section 1.3</w:t>
      </w:r>
      <w:r>
        <w:rPr>
          <w:rFonts w:ascii="Times New Roman" w:hAnsi="Times New Roman"/>
          <w:color w:val="000000"/>
          <w:sz w:val="22"/>
        </w:rPr>
        <w:t>.</w:t>
      </w:r>
    </w:p>
    <w:p>
      <w:pPr>
        <w:pStyle w:val="TextBody"/>
        <w:bidi w:val="0"/>
        <w:spacing w:before="240" w:after="283"/>
        <w:jc w:val="both"/>
        <w:rPr/>
      </w:pPr>
      <w:bookmarkStart w:id="154" w:name="xgovernmental_authority__shall_mean_the_"/>
      <w:bookmarkEnd w:id="154"/>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shall mean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40" w:after="283"/>
        <w:jc w:val="both"/>
        <w:rPr/>
      </w:pPr>
      <w:bookmarkStart w:id="155" w:name="xguarantee__of_or_by_any_person__the__gu"/>
      <w:bookmarkEnd w:id="155"/>
      <w:r>
        <w:rPr>
          <w:color w:val="000000"/>
        </w:rPr>
        <w:t>“</w:t>
      </w:r>
      <w:r>
        <w:rPr>
          <w:rFonts w:ascii="Times New Roman" w:hAnsi="Times New Roman"/>
          <w:color w:val="000000"/>
          <w:sz w:val="22"/>
          <w:u w:val="single"/>
        </w:rPr>
        <w:t>Guarantee</w:t>
      </w:r>
      <w:r>
        <w:rPr>
          <w:rFonts w:ascii="Times New Roman" w:hAnsi="Times New Roman"/>
          <w:color w:val="000000"/>
          <w:sz w:val="20"/>
        </w:rPr>
        <w:t xml:space="preserve">” </w:t>
      </w:r>
      <w:r>
        <w:rPr>
          <w:rFonts w:ascii="Times New Roman" w:hAnsi="Times New Roman"/>
          <w:color w:val="000000"/>
          <w:sz w:val="22"/>
        </w:rPr>
        <w:t>of or by any Person (the “</w:t>
      </w:r>
      <w:r>
        <w:rPr>
          <w:rFonts w:ascii="Times New Roman" w:hAnsi="Times New Roman"/>
          <w:color w:val="000000"/>
          <w:sz w:val="22"/>
          <w:u w:val="single"/>
        </w:rPr>
        <w:t>guarantor</w:t>
      </w:r>
      <w:r>
        <w:rPr>
          <w:rFonts w:ascii="Times New Roman" w:hAnsi="Times New Roman"/>
          <w:color w:val="000000"/>
          <w:sz w:val="20"/>
        </w:rPr>
        <w:t>”</w:t>
      </w:r>
      <w:r>
        <w:rPr>
          <w:rFonts w:ascii="Times New Roman" w:hAnsi="Times New Roman"/>
          <w:color w:val="000000"/>
          <w:sz w:val="22"/>
        </w:rPr>
        <w:t>) shall mean any obligation, contingent or otherwise, of the guarantor guaranteeing or having the economic effect of guaranteeing any Indebtedness or other obligation of any other Person (the “</w:t>
      </w:r>
      <w:r>
        <w:rPr>
          <w:rFonts w:ascii="Times New Roman" w:hAnsi="Times New Roman"/>
          <w:color w:val="000000"/>
          <w:sz w:val="22"/>
          <w:u w:val="single"/>
        </w:rPr>
        <w:t>primary obligor</w:t>
      </w:r>
      <w:r>
        <w:rPr>
          <w:rFonts w:ascii="Times New Roman" w:hAnsi="Times New Roman"/>
          <w:color w:val="000000"/>
          <w:sz w:val="20"/>
        </w:rPr>
        <w:t>”</w:t>
      </w:r>
      <w:r>
        <w:rPr>
          <w:rFonts w:ascii="Times New Roman" w:hAnsi="Times New Roman"/>
          <w:color w:val="000000"/>
          <w:sz w:val="22"/>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Times New Roman" w:hAnsi="Times New Roman"/>
          <w:color w:val="000000"/>
          <w:sz w:val="22"/>
          <w:u w:val="single"/>
        </w:rPr>
        <w:t>provided</w:t>
      </w:r>
      <w:r>
        <w:rPr>
          <w:rFonts w:ascii="Times New Roman" w:hAnsi="Times New Roman"/>
          <w:color w:val="000000"/>
          <w:sz w:val="22"/>
        </w:rPr>
        <w:t>, that the term “Guarantee” shall not include endorsements for collection or deposit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amount of any Guarantee shall be deemed to be an amount equal to the stated or determinable amount of the primary obligation in respect of which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pStyle w:val="TextBody"/>
        <w:bidi w:val="0"/>
        <w:spacing w:before="240" w:after="283"/>
        <w:jc w:val="both"/>
        <w:rPr/>
      </w:pPr>
      <w:bookmarkStart w:id="156" w:name="xguarantor_joinder_agreement__shall_mean"/>
      <w:bookmarkEnd w:id="156"/>
      <w:r>
        <w:rPr>
          <w:color w:val="000000"/>
        </w:rPr>
        <w:t>“</w:t>
      </w:r>
      <w:r>
        <w:rPr>
          <w:rFonts w:ascii="Times New Roman" w:hAnsi="Times New Roman"/>
          <w:color w:val="000000"/>
          <w:sz w:val="22"/>
          <w:u w:val="single"/>
        </w:rPr>
        <w:t>Guarantor Joinder Agreement</w:t>
      </w:r>
      <w:r>
        <w:rPr>
          <w:rFonts w:ascii="Times New Roman" w:hAnsi="Times New Roman"/>
          <w:color w:val="000000"/>
          <w:sz w:val="20"/>
        </w:rPr>
        <w:t xml:space="preserve">” </w:t>
      </w:r>
      <w:r>
        <w:rPr>
          <w:rFonts w:ascii="Times New Roman" w:hAnsi="Times New Roman"/>
          <w:color w:val="000000"/>
          <w:sz w:val="22"/>
        </w:rPr>
        <w:t xml:space="preserve">shall mean a joinder agreement substantially in the form of </w:t>
      </w:r>
      <w:r>
        <w:rPr>
          <w:rFonts w:ascii="Times New Roman" w:hAnsi="Times New Roman"/>
          <w:color w:val="000000"/>
          <w:sz w:val="22"/>
          <w:u w:val="single"/>
        </w:rPr>
        <w:t>Exhibit 5.10</w:t>
      </w:r>
      <w:r>
        <w:rPr>
          <w:rFonts w:ascii="Times New Roman" w:hAnsi="Times New Roman"/>
          <w:color w:val="000000"/>
          <w:sz w:val="20"/>
        </w:rPr>
        <w:t xml:space="preserve"> </w:t>
      </w:r>
      <w:r>
        <w:rPr>
          <w:rFonts w:ascii="Times New Roman" w:hAnsi="Times New Roman"/>
          <w:color w:val="000000"/>
          <w:sz w:val="22"/>
        </w:rPr>
        <w:t xml:space="preserve">executed and delivered by a Subsidiary of Holdings in accordance with the provisions of </w:t>
      </w:r>
      <w:r>
        <w:rPr>
          <w:rFonts w:ascii="Times New Roman" w:hAnsi="Times New Roman"/>
          <w:color w:val="000000"/>
          <w:sz w:val="22"/>
          <w:u w:val="single"/>
        </w:rPr>
        <w:t>Section 5.10</w:t>
      </w:r>
      <w:r>
        <w:rPr>
          <w:rFonts w:ascii="Times New Roman" w:hAnsi="Times New Roman"/>
          <w:color w:val="000000"/>
          <w:sz w:val="20"/>
        </w:rPr>
        <w:t xml:space="preserve"> </w:t>
      </w:r>
      <w:r>
        <w:rPr>
          <w:rFonts w:ascii="Times New Roman" w:hAnsi="Times New Roman"/>
          <w:color w:val="000000"/>
          <w:sz w:val="22"/>
        </w:rPr>
        <w:t>or any other documents as the Administrative Agent shall deem appropriate for such purpose.</w:t>
      </w:r>
    </w:p>
    <w:p>
      <w:pPr>
        <w:pStyle w:val="TextBody"/>
        <w:bidi w:val="0"/>
        <w:spacing w:before="240" w:after="283"/>
        <w:jc w:val="both"/>
        <w:rPr/>
      </w:pPr>
      <w:bookmarkStart w:id="157" w:name="xguarantors__shall_mean__collectively___"/>
      <w:bookmarkEnd w:id="157"/>
      <w:r>
        <w:rPr>
          <w:color w:val="000000"/>
        </w:rPr>
        <w:t>“</w:t>
      </w:r>
      <w:r>
        <w:rPr>
          <w:rFonts w:ascii="Times New Roman" w:hAnsi="Times New Roman"/>
          <w:color w:val="000000"/>
          <w:sz w:val="22"/>
          <w:u w:val="single"/>
        </w:rPr>
        <w:t>Guarantors</w:t>
      </w:r>
      <w:r>
        <w:rPr>
          <w:rFonts w:ascii="Times New Roman" w:hAnsi="Times New Roman"/>
          <w:color w:val="000000"/>
          <w:sz w:val="20"/>
        </w:rPr>
        <w:t xml:space="preserve">” </w:t>
      </w:r>
      <w:r>
        <w:rPr>
          <w:rFonts w:ascii="Times New Roman" w:hAnsi="Times New Roman"/>
          <w:color w:val="000000"/>
          <w:sz w:val="22"/>
        </w:rPr>
        <w:t xml:space="preserve">shall mean, collectively, (a) Holdings, (b) each Subsidiary of Holdings identified as a “Guarantor” on the signature pages hereto, (c) each Person that joins as a Guarantor pursuant to </w:t>
      </w:r>
      <w:r>
        <w:rPr>
          <w:rFonts w:ascii="Times New Roman" w:hAnsi="Times New Roman"/>
          <w:color w:val="000000"/>
          <w:sz w:val="22"/>
          <w:u w:val="single"/>
        </w:rPr>
        <w:t>Section 5.10</w:t>
      </w:r>
      <w:r>
        <w:rPr>
          <w:rFonts w:ascii="Times New Roman" w:hAnsi="Times New Roman"/>
          <w:color w:val="000000"/>
          <w:sz w:val="20"/>
        </w:rPr>
        <w:t xml:space="preserve"> </w:t>
      </w:r>
      <w:r>
        <w:rPr>
          <w:rFonts w:ascii="Times New Roman" w:hAnsi="Times New Roman"/>
          <w:color w:val="000000"/>
          <w:sz w:val="22"/>
        </w:rPr>
        <w:t xml:space="preserve">or otherwise, (d) with respect to (i) any Hedging Obligations between any Loan Party (other than the Borrower) or Subsidiary and any Lender-Related Hedge Provider that are permitted to be incurred pursuant to </w:t>
      </w:r>
      <w:r>
        <w:rPr>
          <w:rFonts w:ascii="Times New Roman" w:hAnsi="Times New Roman"/>
          <w:color w:val="000000"/>
          <w:sz w:val="22"/>
          <w:u w:val="single"/>
        </w:rPr>
        <w:t>Section 7.10</w:t>
      </w:r>
      <w:r>
        <w:rPr>
          <w:rFonts w:ascii="Times New Roman" w:hAnsi="Times New Roman"/>
          <w:color w:val="000000"/>
          <w:sz w:val="20"/>
        </w:rPr>
        <w:t xml:space="preserve"> </w:t>
      </w:r>
      <w:r>
        <w:rPr>
          <w:rFonts w:ascii="Times New Roman" w:hAnsi="Times New Roman"/>
          <w:color w:val="000000"/>
          <w:sz w:val="22"/>
        </w:rPr>
        <w:t>and any Bank Products Obligations owing by any Loan Party (other than the Borrower) or Subsidiary, the Borrower and (ii) the payment and performance by each Specified Loan Party of its obligations under its Guaranty with respect to all Swap Obligations, the Borrower, and (e) the successors and permitted assigns of the foregoing. For the avoidance of doubt, no Foreign Subsidiary shall be required to be a Guarantor.</w:t>
      </w:r>
    </w:p>
    <w:p>
      <w:pPr>
        <w:pStyle w:val="TextBody"/>
        <w:bidi w:val="0"/>
        <w:spacing w:before="240" w:after="283"/>
        <w:jc w:val="both"/>
        <w:rPr/>
      </w:pPr>
      <w:bookmarkStart w:id="158" w:name="xguaranty__shall_mean_the_guaranty_made_"/>
      <w:bookmarkEnd w:id="158"/>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 xml:space="preserve">shall mean the Guaranty made by the Guarantors in favor of the Administrative Agent, for the benefit of the Secured Parties, pursuant to </w:t>
      </w:r>
      <w:r>
        <w:rPr>
          <w:rFonts w:ascii="Times New Roman" w:hAnsi="Times New Roman"/>
          <w:color w:val="000000"/>
          <w:sz w:val="22"/>
          <w:u w:val="single"/>
        </w:rPr>
        <w:t>Article X</w:t>
      </w:r>
      <w:r>
        <w:rPr>
          <w:rFonts w:ascii="Times New Roman" w:hAnsi="Times New Roman"/>
          <w:color w:val="000000"/>
          <w:sz w:val="22"/>
        </w:rPr>
        <w:t>.</w:t>
      </w:r>
    </w:p>
    <w:p>
      <w:pPr>
        <w:pStyle w:val="TextBody"/>
        <w:bidi w:val="0"/>
        <w:spacing w:before="240" w:after="283"/>
        <w:jc w:val="both"/>
        <w:rPr/>
      </w:pPr>
      <w:bookmarkStart w:id="159" w:name="xhazardous_materials__shall_mean_all_exp"/>
      <w:bookmarkEnd w:id="159"/>
      <w:r>
        <w:rPr>
          <w:color w:val="000000"/>
        </w:rPr>
        <w:t>“</w:t>
      </w:r>
      <w:r>
        <w:rPr>
          <w:rFonts w:ascii="Times New Roman" w:hAnsi="Times New Roman"/>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160" w:name="xhealthcare_laws__shall_mean_any_and_all"/>
      <w:bookmarkEnd w:id="160"/>
      <w:r>
        <w:rPr>
          <w:color w:val="000000"/>
        </w:rPr>
        <w:t>“</w:t>
      </w:r>
      <w:r>
        <w:rPr>
          <w:rFonts w:ascii="Times New Roman" w:hAnsi="Times New Roman"/>
          <w:color w:val="000000"/>
          <w:sz w:val="22"/>
          <w:u w:val="single"/>
        </w:rPr>
        <w:t>Healthcare Laws</w:t>
      </w:r>
      <w:r>
        <w:rPr>
          <w:rFonts w:ascii="Times New Roman" w:hAnsi="Times New Roman"/>
          <w:color w:val="000000"/>
          <w:sz w:val="20"/>
        </w:rPr>
        <w:t xml:space="preserve">” </w:t>
      </w:r>
      <w:r>
        <w:rPr>
          <w:rFonts w:ascii="Times New Roman" w:hAnsi="Times New Roman"/>
          <w:color w:val="000000"/>
          <w:sz w:val="22"/>
        </w:rPr>
        <w:t>shall mean any and all Laws, as may be enacted or amended from time to time, relating to the regulation of healthcare or insurance, entities that provide items or services directly or indirectly to, for, or on behalf of healthcare providers and suppliers or the payment or reimbursement for items or services rendered, provided, dispensed or furnished by healthcare providers or suppliers, including, but not limited to, the Stark Law (42 U.S.C. Section 1395nn), 42 U.S.C. Section 1320a-7b and the regulations promulgated pursuant thereto, the False Claims Act (31 U.S.C. §§ 3729-3733), the Social Security Act, Medicare Regulations, Medicaid Regulations, HIPAA, Privacy Laws and state equivalents thereof.</w:t>
      </w:r>
    </w:p>
    <w:p>
      <w:pPr>
        <w:pStyle w:val="TextBody"/>
        <w:bidi w:val="0"/>
        <w:spacing w:before="240" w:after="283"/>
        <w:jc w:val="both"/>
        <w:rPr/>
      </w:pPr>
      <w:bookmarkStart w:id="161" w:name="xhedge_termination_value__shall_mean__in"/>
      <w:bookmarkEnd w:id="161"/>
      <w:r>
        <w:rPr>
          <w:color w:val="000000"/>
        </w:rPr>
        <w:t>“</w:t>
      </w:r>
      <w:r>
        <w:rPr>
          <w:rFonts w:ascii="Times New Roman" w:hAnsi="Times New Roman"/>
          <w:color w:val="000000"/>
          <w:sz w:val="22"/>
          <w:u w:val="single"/>
        </w:rPr>
        <w:t>Hedge Termination Value</w:t>
      </w:r>
      <w:r>
        <w:rPr>
          <w:rFonts w:ascii="Times New Roman" w:hAnsi="Times New Roman"/>
          <w:color w:val="000000"/>
          <w:sz w:val="20"/>
        </w:rPr>
        <w:t xml:space="preserve">” </w:t>
      </w:r>
      <w:r>
        <w:rPr>
          <w:rFonts w:ascii="Times New Roman" w:hAnsi="Times New Roman"/>
          <w:color w:val="000000"/>
          <w:sz w:val="22"/>
        </w:rPr>
        <w:t xml:space="preserve">shall mean, in respect of any one or more Hedging Obligations, after taking into account the effect of any legally enforceable netting agreement relating to such Hedging Obligations, (a) for any date on or after the date such Hedging Obligations have been closed out and termination value(s) determined in accordance therewith, such termination value(s), and (b) for any date prior to the date referenced in </w:t>
      </w:r>
      <w:r>
        <w:rPr>
          <w:rFonts w:ascii="Times New Roman" w:hAnsi="Times New Roman"/>
          <w:color w:val="000000"/>
          <w:sz w:val="22"/>
          <w:u w:val="single"/>
        </w:rPr>
        <w:t>clause (a)</w:t>
      </w:r>
      <w:r>
        <w:rPr>
          <w:rFonts w:ascii="Times New Roman" w:hAnsi="Times New Roman"/>
          <w:color w:val="000000"/>
          <w:sz w:val="22"/>
        </w:rPr>
        <w:t>, the amount(s) determined as the mark-to-market value(s) for such Hedging Obligations, as determined based upon one or more mid-market or other readily available quotations provided by any recognized dealer in such Hedging Obligations (which may include any Lender or any Affiliate of a Lender).</w:t>
      </w:r>
    </w:p>
    <w:p>
      <w:pPr>
        <w:pStyle w:val="TextBody"/>
        <w:bidi w:val="0"/>
        <w:spacing w:before="240" w:after="283"/>
        <w:jc w:val="both"/>
        <w:rPr/>
      </w:pPr>
      <w:bookmarkStart w:id="162" w:name="xhedging_obligations__of_any_person_shal"/>
      <w:bookmarkEnd w:id="162"/>
      <w:r>
        <w:rPr>
          <w:color w:val="000000"/>
        </w:rPr>
        <w:t>“</w:t>
      </w:r>
      <w:r>
        <w:rPr>
          <w:rFonts w:ascii="Times New Roman" w:hAnsi="Times New Roman"/>
          <w:color w:val="000000"/>
          <w:sz w:val="22"/>
          <w:u w:val="single"/>
        </w:rPr>
        <w:t>Hedging Obligations</w:t>
      </w:r>
      <w:r>
        <w:rPr>
          <w:rFonts w:ascii="Times New Roman" w:hAnsi="Times New Roman"/>
          <w:color w:val="000000"/>
          <w:sz w:val="20"/>
        </w:rPr>
        <w:t xml:space="preserve">” </w:t>
      </w:r>
      <w:r>
        <w:rPr>
          <w:rFonts w:ascii="Times New Roman" w:hAnsi="Times New Roman"/>
          <w:color w:val="000000"/>
          <w:sz w:val="22"/>
        </w:rPr>
        <w:t>of any Person shall mean any and all obligations of such Person, whether absolute or contingent and howsoever and whensoever created, arising, evidenced or acquired under (a) any and all Hedging Transactions, (b) any and all cancellations, buy backs, reversals, terminations or assignments of any Hedging Transactions and (c) any and all renewals, extensions and modifications of any Hedging Transactions and any and all substitutions for any Hedging Transactions.</w:t>
      </w:r>
    </w:p>
    <w:p>
      <w:pPr>
        <w:pStyle w:val="TextBody"/>
        <w:bidi w:val="0"/>
        <w:spacing w:before="240" w:after="283"/>
        <w:jc w:val="both"/>
        <w:rPr/>
      </w:pPr>
      <w:bookmarkStart w:id="163" w:name="xhedging_transaction__of_any_person_shal"/>
      <w:bookmarkEnd w:id="163"/>
      <w:r>
        <w:rPr>
          <w:color w:val="000000"/>
        </w:rPr>
        <w:t>“</w:t>
      </w:r>
      <w:r>
        <w:rPr>
          <w:rFonts w:ascii="Times New Roman" w:hAnsi="Times New Roman"/>
          <w:color w:val="000000"/>
          <w:sz w:val="22"/>
          <w:u w:val="single"/>
        </w:rPr>
        <w:t>Hedging Transaction</w:t>
      </w:r>
      <w:r>
        <w:rPr>
          <w:rFonts w:ascii="Times New Roman" w:hAnsi="Times New Roman"/>
          <w:color w:val="000000"/>
          <w:sz w:val="20"/>
        </w:rPr>
        <w:t xml:space="preserve">” </w:t>
      </w:r>
      <w:r>
        <w:rPr>
          <w:rFonts w:ascii="Times New Roman" w:hAnsi="Times New Roman"/>
          <w:color w:val="000000"/>
          <w:sz w:val="22"/>
        </w:rPr>
        <w:t>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olor w:val="000000"/>
          <w:sz w:val="22"/>
          <w:u w:val="single"/>
        </w:rPr>
        <w:t>Master Agreement</w:t>
      </w:r>
      <w:r>
        <w:rPr>
          <w:rFonts w:ascii="Times New Roman" w:hAnsi="Times New Roman"/>
          <w:color w:val="000000"/>
          <w:sz w:val="20"/>
        </w:rPr>
        <w:t>”</w:t>
      </w:r>
      <w:r>
        <w:rPr>
          <w:rFonts w:ascii="Times New Roman" w:hAnsi="Times New Roman"/>
          <w:color w:val="000000"/>
          <w:sz w:val="22"/>
        </w:rPr>
        <w:t>), including any such obligations or liabilities under any Master Agreement.</w:t>
      </w:r>
    </w:p>
    <w:p>
      <w:pPr>
        <w:pStyle w:val="TextBody"/>
        <w:bidi w:val="0"/>
        <w:spacing w:before="240" w:after="283"/>
        <w:jc w:val="both"/>
        <w:rPr/>
      </w:pPr>
      <w:bookmarkStart w:id="164" w:name="xhipaa__shall_mean_the_health_insurance_"/>
      <w:bookmarkEnd w:id="164"/>
      <w:r>
        <w:rPr>
          <w:color w:val="000000"/>
        </w:rPr>
        <w:t>“</w:t>
      </w:r>
      <w:r>
        <w:rPr>
          <w:rFonts w:ascii="Times New Roman" w:hAnsi="Times New Roman"/>
          <w:color w:val="000000"/>
          <w:sz w:val="22"/>
          <w:u w:val="single"/>
        </w:rPr>
        <w:t>HIPAA</w:t>
      </w:r>
      <w:r>
        <w:rPr>
          <w:rFonts w:ascii="Times New Roman" w:hAnsi="Times New Roman"/>
          <w:color w:val="000000"/>
          <w:sz w:val="20"/>
        </w:rPr>
        <w:t xml:space="preserve">” </w:t>
      </w:r>
      <w:r>
        <w:rPr>
          <w:rFonts w:ascii="Times New Roman" w:hAnsi="Times New Roman"/>
          <w:color w:val="000000"/>
          <w:sz w:val="22"/>
        </w:rPr>
        <w:t>shall mean the Health Insurance Portability and Accountability Act of 1996, as the same may be amended, modified or supplemented from time to time, and any successor statute thereto, and any and all rules or regulations promulgated from time to time thereunder.</w:t>
      </w:r>
    </w:p>
    <w:p>
      <w:pPr>
        <w:pStyle w:val="TextBody"/>
        <w:bidi w:val="0"/>
        <w:spacing w:before="240" w:after="283"/>
        <w:jc w:val="both"/>
        <w:rPr/>
      </w:pPr>
      <w:bookmarkStart w:id="165" w:name="xholdings__shall_have_the_meaning_set_fo"/>
      <w:bookmarkEnd w:id="165"/>
      <w:r>
        <w:rPr>
          <w:color w:val="000000"/>
        </w:rPr>
        <w:t>“</w:t>
      </w:r>
      <w:r>
        <w:rPr>
          <w:rFonts w:ascii="Times New Roman" w:hAnsi="Times New Roman"/>
          <w:color w:val="000000"/>
          <w:sz w:val="22"/>
          <w:u w:val="single"/>
        </w:rPr>
        <w:t>Holdings</w:t>
      </w:r>
      <w:r>
        <w:rPr>
          <w:rFonts w:ascii="Times New Roman" w:hAnsi="Times New Roman"/>
          <w:color w:val="000000"/>
          <w:sz w:val="20"/>
        </w:rPr>
        <w:t xml:space="preserve">” </w:t>
      </w:r>
      <w:r>
        <w:rPr>
          <w:rFonts w:ascii="Times New Roman" w:hAnsi="Times New Roman"/>
          <w:color w:val="000000"/>
          <w:sz w:val="22"/>
        </w:rPr>
        <w:t>shall have the meaning set forth in the introductory paragraph hereof.</w:t>
      </w:r>
    </w:p>
    <w:p>
      <w:pPr>
        <w:pStyle w:val="TextBody"/>
        <w:bidi w:val="0"/>
        <w:spacing w:before="240" w:after="283"/>
        <w:jc w:val="both"/>
        <w:rPr/>
      </w:pPr>
      <w:bookmarkStart w:id="166" w:name="xhostile_acquisition__shall_mean_the_acq"/>
      <w:bookmarkEnd w:id="166"/>
      <w:r>
        <w:rPr>
          <w:color w:val="000000"/>
        </w:rPr>
        <w:t>“</w:t>
      </w:r>
      <w:r>
        <w:rPr>
          <w:rFonts w:ascii="Times New Roman" w:hAnsi="Times New Roman"/>
          <w:color w:val="000000"/>
          <w:sz w:val="22"/>
          <w:u w:val="single"/>
        </w:rPr>
        <w:t>Hostile Acquisition</w:t>
      </w:r>
      <w:r>
        <w:rPr>
          <w:rFonts w:ascii="Times New Roman" w:hAnsi="Times New Roman"/>
          <w:color w:val="000000"/>
          <w:sz w:val="20"/>
        </w:rPr>
        <w:t xml:space="preserve">” </w:t>
      </w:r>
      <w:r>
        <w:rPr>
          <w:rFonts w:ascii="Times New Roman" w:hAnsi="Times New Roman"/>
          <w:color w:val="000000"/>
          <w:sz w:val="22"/>
        </w:rPr>
        <w:t>shall mean the Acquisition of the Capital Stock of a Person through a tender offer or similar solicitation of the owners of such Capital Stock which has not been approved (prior to such Acquisition) by resolutions of the Board of Directors of such Person (or by similar action if such Person is not a corporation) or if such approval has been withdrawn.</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167" w:name="ximmaterial_subsidiary__shall_mean_any_s"/>
      <w:bookmarkEnd w:id="167"/>
      <w:r>
        <w:rPr>
          <w:color w:val="000000"/>
        </w:rPr>
        <w:t>“</w:t>
      </w:r>
      <w:r>
        <w:rPr>
          <w:rFonts w:ascii="Times New Roman" w:hAnsi="Times New Roman"/>
          <w:color w:val="000000"/>
          <w:sz w:val="22"/>
          <w:u w:val="single"/>
        </w:rPr>
        <w:t>Immaterial Subsidiary</w:t>
      </w:r>
      <w:r>
        <w:rPr>
          <w:rFonts w:ascii="Times New Roman" w:hAnsi="Times New Roman"/>
          <w:color w:val="000000"/>
          <w:sz w:val="20"/>
        </w:rPr>
        <w:t xml:space="preserve">” </w:t>
      </w:r>
      <w:r>
        <w:rPr>
          <w:rFonts w:ascii="Times New Roman" w:hAnsi="Times New Roman"/>
          <w:color w:val="000000"/>
          <w:sz w:val="22"/>
        </w:rPr>
        <w:t>shall mean any Subsidiary of Holdings that is not a Material Subsidiary.</w:t>
      </w:r>
    </w:p>
    <w:p>
      <w:pPr>
        <w:pStyle w:val="TextBody"/>
        <w:bidi w:val="0"/>
        <w:spacing w:before="240" w:after="283"/>
        <w:jc w:val="both"/>
        <w:rPr/>
      </w:pPr>
      <w:bookmarkStart w:id="168" w:name="xincreased_cost_lender__shall_have_the_m"/>
      <w:bookmarkEnd w:id="168"/>
      <w:r>
        <w:rPr>
          <w:color w:val="000000"/>
        </w:rPr>
        <w:t>“</w:t>
      </w:r>
      <w:r>
        <w:rPr>
          <w:rFonts w:ascii="Times New Roman" w:hAnsi="Times New Roman"/>
          <w:color w:val="000000"/>
          <w:sz w:val="22"/>
          <w:u w:val="single"/>
        </w:rPr>
        <w:t>Increased Cost Lender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2.25</w:t>
      </w:r>
      <w:r>
        <w:rPr>
          <w:rFonts w:ascii="Times New Roman" w:hAnsi="Times New Roman"/>
          <w:color w:val="000000"/>
          <w:sz w:val="22"/>
        </w:rPr>
        <w:t>.</w:t>
      </w:r>
    </w:p>
    <w:p>
      <w:pPr>
        <w:pStyle w:val="TextBody"/>
        <w:bidi w:val="0"/>
        <w:spacing w:before="240" w:after="283"/>
        <w:jc w:val="both"/>
        <w:rPr/>
      </w:pPr>
      <w:bookmarkStart w:id="169" w:name="xincremental_cap__shall_mean__as_of_any_"/>
      <w:bookmarkEnd w:id="169"/>
      <w:r>
        <w:rPr>
          <w:color w:val="000000"/>
        </w:rPr>
        <w:t>“</w:t>
      </w:r>
      <w:r>
        <w:rPr>
          <w:rFonts w:ascii="Times New Roman" w:hAnsi="Times New Roman"/>
          <w:color w:val="000000"/>
          <w:sz w:val="22"/>
          <w:u w:val="single"/>
        </w:rPr>
        <w:t>Incremental Cap</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the total of (a) the greater of (i) $53,500,000 and (ii) 100% of Consolidated EBITDA for the most recently ended period of four Fiscal Quarters for which the Borrower has delivered financial statements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0"/>
        </w:rPr>
        <w:t xml:space="preserve"> </w:t>
      </w:r>
      <w:r>
        <w:rPr>
          <w:rFonts w:ascii="Times New Roman" w:hAnsi="Times New Roman"/>
          <w:i/>
          <w:color w:val="000000"/>
          <w:sz w:val="22"/>
        </w:rPr>
        <w:t xml:space="preserve">minus </w:t>
      </w:r>
      <w:r>
        <w:rPr>
          <w:rFonts w:ascii="Times New Roman" w:hAnsi="Times New Roman"/>
          <w:color w:val="000000"/>
          <w:sz w:val="22"/>
        </w:rPr>
        <w:t xml:space="preserve">(b) the aggregate amount of all Incremental Facilities at such time that were incurred in reliance on the foregoing </w:t>
      </w:r>
      <w:r>
        <w:rPr>
          <w:rFonts w:ascii="Times New Roman" w:hAnsi="Times New Roman"/>
          <w:color w:val="000000"/>
          <w:sz w:val="22"/>
          <w:u w:val="single"/>
        </w:rPr>
        <w:t>clause (a)</w:t>
      </w:r>
      <w:r>
        <w:rPr>
          <w:rFonts w:ascii="Times New Roman" w:hAnsi="Times New Roman"/>
          <w:color w:val="000000"/>
          <w:sz w:val="22"/>
        </w:rPr>
        <w:t>.</w:t>
      </w:r>
    </w:p>
    <w:p>
      <w:pPr>
        <w:pStyle w:val="TextBody"/>
        <w:bidi w:val="0"/>
        <w:spacing w:before="240" w:after="283"/>
        <w:jc w:val="both"/>
        <w:rPr/>
      </w:pPr>
      <w:bookmarkStart w:id="170" w:name="xincremental_facility__shall_have_the_me"/>
      <w:bookmarkEnd w:id="170"/>
      <w:r>
        <w:rPr>
          <w:color w:val="000000"/>
        </w:rPr>
        <w:t>“</w:t>
      </w:r>
      <w:r>
        <w:rPr>
          <w:rFonts w:ascii="Times New Roman" w:hAnsi="Times New Roman"/>
          <w:color w:val="000000"/>
          <w:sz w:val="22"/>
          <w:u w:val="single"/>
        </w:rPr>
        <w:t>Incremental Facility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both"/>
        <w:rPr/>
      </w:pPr>
      <w:bookmarkStart w:id="171" w:name="xincremental_revolving_commitment__shall"/>
      <w:bookmarkEnd w:id="171"/>
      <w:r>
        <w:rPr>
          <w:color w:val="000000"/>
        </w:rPr>
        <w:t>“</w:t>
      </w:r>
      <w:r>
        <w:rPr>
          <w:rFonts w:ascii="Times New Roman" w:hAnsi="Times New Roman"/>
          <w:color w:val="000000"/>
          <w:sz w:val="22"/>
          <w:u w:val="single"/>
        </w:rPr>
        <w:t>Incremental Revolving Commitment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2.23(d)</w:t>
      </w:r>
      <w:r>
        <w:rPr>
          <w:rFonts w:ascii="Times New Roman" w:hAnsi="Times New Roman"/>
          <w:color w:val="000000"/>
          <w:sz w:val="22"/>
        </w:rPr>
        <w:t>.</w:t>
      </w:r>
    </w:p>
    <w:p>
      <w:pPr>
        <w:pStyle w:val="TextBody"/>
        <w:bidi w:val="0"/>
        <w:spacing w:before="240" w:after="283"/>
        <w:jc w:val="both"/>
        <w:rPr/>
      </w:pPr>
      <w:bookmarkStart w:id="172" w:name="xincremental_revolving_facility__shall_h"/>
      <w:bookmarkEnd w:id="172"/>
      <w:r>
        <w:rPr>
          <w:color w:val="000000"/>
        </w:rPr>
        <w:t>“</w:t>
      </w:r>
      <w:r>
        <w:rPr>
          <w:rFonts w:ascii="Times New Roman" w:hAnsi="Times New Roman"/>
          <w:color w:val="000000"/>
          <w:sz w:val="22"/>
          <w:u w:val="single"/>
        </w:rPr>
        <w:t>Incremental Revolving Facility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both"/>
        <w:rPr/>
      </w:pPr>
      <w:bookmarkStart w:id="173" w:name="xincremental_term_facility__shall_have_t"/>
      <w:bookmarkEnd w:id="173"/>
      <w:r>
        <w:rPr>
          <w:color w:val="000000"/>
        </w:rPr>
        <w:t>“</w:t>
      </w:r>
      <w:r>
        <w:rPr>
          <w:rFonts w:ascii="Times New Roman" w:hAnsi="Times New Roman"/>
          <w:color w:val="000000"/>
          <w:sz w:val="22"/>
          <w:u w:val="single"/>
        </w:rPr>
        <w:t>Incremental Term Facility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both"/>
        <w:rPr/>
      </w:pPr>
      <w:bookmarkStart w:id="174" w:name="xincremental_term_loan__shall_mean_any_t"/>
      <w:bookmarkEnd w:id="174"/>
      <w:r>
        <w:rPr>
          <w:color w:val="000000"/>
        </w:rPr>
        <w:t>“</w:t>
      </w:r>
      <w:r>
        <w:rPr>
          <w:rFonts w:ascii="Times New Roman" w:hAnsi="Times New Roman"/>
          <w:color w:val="000000"/>
          <w:sz w:val="22"/>
          <w:u w:val="single"/>
        </w:rPr>
        <w:t>Incremental Term Loan</w:t>
      </w:r>
      <w:r>
        <w:rPr>
          <w:rFonts w:ascii="Times New Roman" w:hAnsi="Times New Roman"/>
          <w:color w:val="000000"/>
          <w:sz w:val="20"/>
        </w:rPr>
        <w:t xml:space="preserve">” </w:t>
      </w:r>
      <w:r>
        <w:rPr>
          <w:rFonts w:ascii="Times New Roman" w:hAnsi="Times New Roman"/>
          <w:color w:val="000000"/>
          <w:sz w:val="22"/>
        </w:rPr>
        <w:t xml:space="preserve">shall mean any term loan made pursuant to an Incremental Term Facility in accordance with the provisions of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both"/>
        <w:rPr/>
      </w:pPr>
      <w:bookmarkStart w:id="175" w:name="xincremental_term_loan_commitment__shall"/>
      <w:bookmarkEnd w:id="175"/>
      <w:r>
        <w:rPr>
          <w:color w:val="000000"/>
        </w:rPr>
        <w:t>“</w:t>
      </w:r>
      <w:r>
        <w:rPr>
          <w:rFonts w:ascii="Times New Roman" w:hAnsi="Times New Roman"/>
          <w:color w:val="000000"/>
          <w:sz w:val="22"/>
          <w:u w:val="single"/>
        </w:rPr>
        <w:t>Incremental Term Loan Commitment</w:t>
      </w:r>
      <w:r>
        <w:rPr>
          <w:rFonts w:ascii="Times New Roman" w:hAnsi="Times New Roman"/>
          <w:color w:val="000000"/>
          <w:sz w:val="20"/>
        </w:rPr>
        <w:t xml:space="preserve">” </w:t>
      </w:r>
      <w:r>
        <w:rPr>
          <w:rFonts w:ascii="Times New Roman" w:hAnsi="Times New Roman"/>
          <w:color w:val="000000"/>
          <w:sz w:val="22"/>
        </w:rPr>
        <w:t xml:space="preserve">shall mean, with respect to Persons identified as an “Incremental Term Loan Lender” in the applicable supplement or joinder in form and substance satisfactory to the Administrative Agent, together with their respective successors and assigns, the commitment of such Person to make the Incremental Term Loan hereunder pursuant to such supplement or joinder;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any time after the funding of the Incremental Term Loan, determination of “Required Lenders” shall include the outstanding principal amount of the Incremental Term Loan.</w:t>
      </w:r>
    </w:p>
    <w:p>
      <w:pPr>
        <w:pStyle w:val="TextBody"/>
        <w:bidi w:val="0"/>
        <w:spacing w:before="240" w:after="283"/>
        <w:jc w:val="both"/>
        <w:rPr/>
      </w:pPr>
      <w:bookmarkStart w:id="176" w:name="xindebtedness__of_any_person_shall_mean_"/>
      <w:bookmarkEnd w:id="176"/>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 xml:space="preserve">of any Person shall mean, without duplication (a) all obligations of such Person for borrowed money, (b) all obligations of such Person evidenced by bonds, debentures, notes or other similar instruments, (c) all obligations of such Person in respect of the deferred purchase price of property or services (other than trade payables and deferred compensation obligations, in each case, incurred in the ordinary course of business), including, without limitation, any Earnout Obligations solely to the extent the payment of any such Earnout Obligation is more than five (5) days past due (unless subject to a good faith dispute), (d) all obligations of such Person under any conditional sale or other title retention agreement(s) relating to property acquired by such Person, (e) all Capital Lease Obligations of such Person, (f) all obligations, contingent or otherwise, of such Person in respect of letters of credit, acceptances or similar extensions of credit, (g) [reserved], (h) Off-Balance Sheet Liabilities, (i) the Hedge Termination Value of all Hedging Obligations, (j) all Guarantees of such Person of the type of Indebtedness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above, </w:t>
      </w:r>
      <w:r>
        <w:rPr>
          <w:rFonts w:ascii="Times New Roman" w:hAnsi="Times New Roman"/>
          <w:color w:val="000000"/>
          <w:sz w:val="22"/>
          <w:u w:val="single"/>
        </w:rPr>
        <w:t>(k)</w:t>
      </w:r>
      <w:r>
        <w:rPr>
          <w:rFonts w:ascii="Times New Roman" w:hAnsi="Times New Roman"/>
          <w:color w:val="000000"/>
          <w:sz w:val="20"/>
        </w:rPr>
        <w:t xml:space="preserve"> </w:t>
      </w:r>
      <w:r>
        <w:rPr>
          <w:rFonts w:ascii="Times New Roman" w:hAnsi="Times New Roman"/>
          <w:color w:val="000000"/>
          <w:sz w:val="22"/>
        </w:rPr>
        <w:t xml:space="preserve">all Indebtedness of a third party secured by any Lien on property owned by such Person, whether or not such Indebtedness has been assumed by such Person and (l) all Disqualified Capital Stock of such Person. 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unless such Indebtedness is expressly made non-recourse to such Person. The amount of any net obligation under any Hedging Transaction on any date shall be deemed to be the Hedge Termination Value thereof as of such date. The amount of Indebtedness of any Person for purposes of </w:t>
      </w:r>
      <w:r>
        <w:rPr>
          <w:rFonts w:ascii="Times New Roman" w:hAnsi="Times New Roman"/>
          <w:color w:val="000000"/>
          <w:sz w:val="22"/>
          <w:u w:val="single"/>
        </w:rPr>
        <w:t>clause (k)</w:t>
      </w:r>
      <w:r>
        <w:rPr>
          <w:rFonts w:ascii="Times New Roman" w:hAnsi="Times New Roman"/>
          <w:color w:val="000000"/>
          <w:sz w:val="20"/>
        </w:rPr>
        <w:t xml:space="preserve"> </w:t>
      </w:r>
      <w:r>
        <w:rPr>
          <w:rFonts w:ascii="Times New Roman" w:hAnsi="Times New Roman"/>
          <w:color w:val="000000"/>
          <w:sz w:val="22"/>
        </w:rPr>
        <w:t>above that is expressly made nonrecourse or limited-recourse (limited solely to the assets securing such Indebtedness) to such Person shall be deemed to be equal to the lesser of (x) the aggregate unpaid amount of such Indebtedness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(y) the fair market value of the property encumbered thereby as determined by such Person in good faith.</w:t>
      </w:r>
    </w:p>
    <w:p>
      <w:pPr>
        <w:pStyle w:val="TextBody"/>
        <w:bidi w:val="0"/>
        <w:spacing w:before="240" w:after="283"/>
        <w:jc w:val="both"/>
        <w:rPr/>
      </w:pPr>
      <w:bookmarkStart w:id="177" w:name="xindemnified_taxes__shall_mean__a__taxes"/>
      <w:bookmarkEnd w:id="177"/>
      <w:r>
        <w:rPr>
          <w:color w:val="000000"/>
        </w:rPr>
        <w:t>“</w:t>
      </w:r>
      <w:r>
        <w:rPr>
          <w:rFonts w:ascii="Times New Roman" w:hAnsi="Times New Roman"/>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shall mean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240" w:after="283"/>
        <w:jc w:val="both"/>
        <w:rPr/>
      </w:pPr>
      <w:bookmarkStart w:id="178" w:name="xintercreditor_agreements__shall_mean__c"/>
      <w:bookmarkEnd w:id="178"/>
      <w:r>
        <w:rPr>
          <w:color w:val="000000"/>
        </w:rPr>
        <w:t>“</w:t>
      </w:r>
      <w:r>
        <w:rPr>
          <w:rFonts w:ascii="Times New Roman" w:hAnsi="Times New Roman"/>
          <w:color w:val="000000"/>
          <w:sz w:val="22"/>
          <w:u w:val="single"/>
        </w:rPr>
        <w:t>Intercreditor Agreements</w:t>
      </w:r>
      <w:r>
        <w:rPr>
          <w:rFonts w:ascii="Times New Roman" w:hAnsi="Times New Roman"/>
          <w:color w:val="000000"/>
          <w:sz w:val="20"/>
        </w:rPr>
        <w:t xml:space="preserve">” </w:t>
      </w:r>
      <w:r>
        <w:rPr>
          <w:rFonts w:ascii="Times New Roman" w:hAnsi="Times New Roman"/>
          <w:color w:val="000000"/>
          <w:sz w:val="22"/>
        </w:rPr>
        <w:t>shall mean, collectively, (a) any First Lien Intercreditor Agreement and (b) any Second Lien Intercreditor Agreement.</w:t>
      </w:r>
    </w:p>
    <w:p>
      <w:pPr>
        <w:pStyle w:val="TextBody"/>
        <w:bidi w:val="0"/>
        <w:spacing w:before="240" w:after="283"/>
        <w:jc w:val="both"/>
        <w:rPr/>
      </w:pPr>
      <w:bookmarkStart w:id="179" w:name="xinterest_period__shall_mean_with_respec"/>
      <w:bookmarkEnd w:id="179"/>
      <w:r>
        <w:rPr>
          <w:color w:val="000000"/>
        </w:rPr>
        <w:t>“</w:t>
      </w:r>
      <w:r>
        <w:rPr>
          <w:rFonts w:ascii="Times New Roman" w:hAnsi="Times New Roman"/>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 xml:space="preserve">shall mean with respect to any SOFR Borrowing, a period of one, three or six months (in each case, subject to the availability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Interest Period would otherwise end on a day other than a Business Day, such Interest Period shall be extended to the next succeeding Business Day, unless such Business Day falls in another calendar month, in which case such Interest Period would end on the immediately preceding Business Day;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principal installment of the Term Loans shall have an Interest Period ending on each installment payment date and the remaining principal balance (if any) of the Term Loans shall have an Interest Period determined as set forth 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Interest Period may extend beyond the Revolving Commitment Termination Date (in the case of any Revolving Loans) and no Interest Period may extend beyond the Maturity Date (in the case of any Term Loans);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 tenor that has been removed from this definition pursuant to </w:t>
      </w:r>
      <w:r>
        <w:rPr>
          <w:rFonts w:ascii="Times New Roman" w:hAnsi="Times New Roman"/>
          <w:color w:val="000000"/>
          <w:sz w:val="22"/>
          <w:u w:val="single"/>
        </w:rPr>
        <w:t>Section 2.16(e)</w:t>
      </w:r>
      <w:r>
        <w:rPr>
          <w:color w:val="000000"/>
        </w:rPr>
        <w:t xml:space="preserve"> </w:t>
      </w:r>
      <w:r>
        <w:rPr>
          <w:rFonts w:ascii="Times New Roman" w:hAnsi="Times New Roman"/>
          <w:color w:val="000000"/>
          <w:sz w:val="22"/>
        </w:rPr>
        <w:t>shall be available for specification in such Notice of Borrowing or Notice of Conversion/Continuation.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180" w:name="xinterim_financial_statements__shall_mea"/>
      <w:bookmarkEnd w:id="180"/>
      <w:r>
        <w:rPr>
          <w:color w:val="000000"/>
        </w:rPr>
        <w:t>“</w:t>
      </w:r>
      <w:r>
        <w:rPr>
          <w:rFonts w:ascii="Times New Roman" w:hAnsi="Times New Roman"/>
          <w:color w:val="000000"/>
          <w:sz w:val="22"/>
          <w:u w:val="single"/>
        </w:rPr>
        <w:t>Interim Financial Statements</w:t>
      </w:r>
      <w:r>
        <w:rPr>
          <w:rFonts w:ascii="Times New Roman" w:hAnsi="Times New Roman"/>
          <w:color w:val="000000"/>
          <w:sz w:val="20"/>
        </w:rPr>
        <w:t xml:space="preserve">” </w:t>
      </w:r>
      <w:r>
        <w:rPr>
          <w:rFonts w:ascii="Times New Roman" w:hAnsi="Times New Roman"/>
          <w:color w:val="000000"/>
          <w:sz w:val="22"/>
        </w:rPr>
        <w:t>shall mean the unaudited consolidated financial statements of Holdings and its Subsidiaries for the Fiscal Quarter ending September 30, 2025, including balance sheets and statements of income or operations and cash flows.</w:t>
      </w:r>
    </w:p>
    <w:p>
      <w:pPr>
        <w:pStyle w:val="TextBody"/>
        <w:bidi w:val="0"/>
        <w:spacing w:before="240" w:after="283"/>
        <w:jc w:val="both"/>
        <w:rPr/>
      </w:pPr>
      <w:bookmarkStart w:id="181" w:name="xinvestments__shall_mean__as_to_any_pers"/>
      <w:bookmarkEnd w:id="181"/>
      <w:r>
        <w:rPr>
          <w:color w:val="000000"/>
        </w:rPr>
        <w:t>“</w:t>
      </w:r>
      <w:r>
        <w:rPr>
          <w:rFonts w:ascii="Times New Roman" w:hAnsi="Times New Roman"/>
          <w:color w:val="000000"/>
          <w:sz w:val="22"/>
          <w:u w:val="single"/>
        </w:rPr>
        <w:t>Investments</w:t>
      </w:r>
      <w:r>
        <w:rPr>
          <w:rFonts w:ascii="Times New Roman" w:hAnsi="Times New Roman"/>
          <w:color w:val="000000"/>
          <w:sz w:val="20"/>
        </w:rPr>
        <w:t xml:space="preserve">” </w:t>
      </w:r>
      <w:r>
        <w:rPr>
          <w:rFonts w:ascii="Times New Roman" w:hAnsi="Times New Roman"/>
          <w:color w:val="000000"/>
          <w:sz w:val="22"/>
        </w:rPr>
        <w:t>shall mean, as to any Person, any direct or indirect acquisition or investment by such Person, whether by means of (a) purchase or other acquisition of any Capital Stock of another Person, (b) a loan, advance, other evidence of indebtedness or capital contribution to, Guarantee or assumption of debt of, or purchase or other acquisition of any other indebtedness or equity participation or interest in, another Person, or (c) an Acquisition. For purposes of covenant compliance, the amount of any Investment shall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amount actually invested, without adjustment for subsequent increases or decreases in the value of such Investment.</w:t>
      </w:r>
    </w:p>
    <w:p>
      <w:pPr>
        <w:pStyle w:val="TextBody"/>
        <w:bidi w:val="0"/>
        <w:spacing w:before="240" w:after="283"/>
        <w:jc w:val="both"/>
        <w:rPr/>
      </w:pPr>
      <w:bookmarkStart w:id="182" w:name="xip_rights__shall_mean_all_of_the_tradem"/>
      <w:bookmarkEnd w:id="182"/>
      <w:r>
        <w:rPr>
          <w:color w:val="000000"/>
        </w:rPr>
        <w:t>“</w:t>
      </w:r>
      <w:r>
        <w:rPr>
          <w:rFonts w:ascii="Times New Roman" w:hAnsi="Times New Roman"/>
          <w:color w:val="000000"/>
          <w:sz w:val="22"/>
          <w:u w:val="single"/>
        </w:rPr>
        <w:t>IP Rights</w:t>
      </w:r>
      <w:r>
        <w:rPr>
          <w:rFonts w:ascii="Times New Roman" w:hAnsi="Times New Roman"/>
          <w:color w:val="000000"/>
          <w:sz w:val="20"/>
        </w:rPr>
        <w:t xml:space="preserve">” </w:t>
      </w:r>
      <w:r>
        <w:rPr>
          <w:rFonts w:ascii="Times New Roman" w:hAnsi="Times New Roman"/>
          <w:color w:val="000000"/>
          <w:sz w:val="22"/>
        </w:rPr>
        <w:t>shall mean all of the trademarks, service marks, trade names, copyrights, patents, patent rights, franchises, licenses and other intellectual property rights that are reasonably necessary for the operation of their respective businesses that Holdings or any of its Subsidiaries owns, or possesses the legal right to use.</w:t>
      </w:r>
    </w:p>
    <w:p>
      <w:pPr>
        <w:pStyle w:val="TextBody"/>
        <w:bidi w:val="0"/>
        <w:spacing w:before="240" w:after="283"/>
        <w:jc w:val="both"/>
        <w:rPr/>
      </w:pPr>
      <w:bookmarkStart w:id="183" w:name="xirs__shall_mean_the_united_states_inter"/>
      <w:bookmarkEnd w:id="183"/>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shall mean the United States Internal Revenue Service.</w:t>
      </w:r>
    </w:p>
    <w:p>
      <w:pPr>
        <w:pStyle w:val="TextBody"/>
        <w:bidi w:val="0"/>
        <w:spacing w:before="240" w:after="283"/>
        <w:jc w:val="both"/>
        <w:rPr/>
      </w:pPr>
      <w:bookmarkStart w:id="184" w:name="xisp__shall_have_the_meaning_set_forth_i"/>
      <w:bookmarkEnd w:id="184"/>
      <w:r>
        <w:rPr>
          <w:color w:val="000000"/>
        </w:rPr>
        <w:t>“</w:t>
      </w:r>
      <w:r>
        <w:rPr>
          <w:rFonts w:ascii="Times New Roman" w:hAnsi="Times New Roman"/>
          <w:color w:val="000000"/>
          <w:sz w:val="22"/>
          <w:u w:val="single"/>
        </w:rPr>
        <w:t>ISP</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2.22(j)</w:t>
      </w:r>
      <w:r>
        <w:rPr>
          <w:rFonts w:ascii="Times New Roman" w:hAnsi="Times New Roman"/>
          <w:color w:val="000000"/>
          <w:sz w:val="22"/>
        </w:rPr>
        <w:t>.</w:t>
      </w:r>
    </w:p>
    <w:p>
      <w:pPr>
        <w:pStyle w:val="TextBody"/>
        <w:bidi w:val="0"/>
        <w:spacing w:before="240" w:after="283"/>
        <w:jc w:val="both"/>
        <w:rPr/>
      </w:pPr>
      <w:bookmarkStart w:id="185" w:name="xissuing_bank__shall_mean_truist_bank_in"/>
      <w:bookmarkEnd w:id="185"/>
      <w:r>
        <w:rPr>
          <w:color w:val="000000"/>
        </w:rPr>
        <w:t>“</w:t>
      </w:r>
      <w:r>
        <w:rPr>
          <w:rFonts w:ascii="Times New Roman" w:hAnsi="Times New Roman"/>
          <w:color w:val="000000"/>
          <w:sz w:val="22"/>
          <w:u w:val="single"/>
        </w:rPr>
        <w:t>Issuing Bank</w:t>
      </w:r>
      <w:r>
        <w:rPr>
          <w:rFonts w:ascii="Times New Roman" w:hAnsi="Times New Roman"/>
          <w:color w:val="000000"/>
          <w:sz w:val="20"/>
        </w:rPr>
        <w:t xml:space="preserve">” </w:t>
      </w:r>
      <w:r>
        <w:rPr>
          <w:rFonts w:ascii="Times New Roman" w:hAnsi="Times New Roman"/>
          <w:color w:val="000000"/>
          <w:sz w:val="22"/>
        </w:rPr>
        <w:t>shall mean Truist Bank in its capacity as the issuer of Letters of Credit hereunder, or any successor issuer of Letters of Credit. The Issuing Bank may, with the consent of the Borrower (not to be unreasonably withheld, conditioned or delayed), arrange for one or more Letters of Credit to be issued by branches or Affiliates of the Issuing Bank, in which case the term “Issuing Bank” shall include any such branch or Affiliate with respect to Letters of Credit issued by such branch or Affiliate.</w:t>
      </w:r>
    </w:p>
    <w:p>
      <w:pPr>
        <w:pStyle w:val="TextBody"/>
        <w:bidi w:val="0"/>
        <w:spacing w:before="240" w:after="283"/>
        <w:jc w:val="both"/>
        <w:rPr/>
      </w:pPr>
      <w:bookmarkStart w:id="186" w:name="xlatest_maturity_date__shall_mean__at_an"/>
      <w:bookmarkEnd w:id="186"/>
      <w:r>
        <w:rPr>
          <w:color w:val="000000"/>
        </w:rPr>
        <w:t>“</w:t>
      </w:r>
      <w:r>
        <w:rPr>
          <w:rFonts w:ascii="Times New Roman" w:hAnsi="Times New Roman"/>
          <w:color w:val="000000"/>
          <w:sz w:val="22"/>
          <w:u w:val="single"/>
        </w:rPr>
        <w:t>Latest Maturity Date</w:t>
      </w:r>
      <w:r>
        <w:rPr>
          <w:rFonts w:ascii="Times New Roman" w:hAnsi="Times New Roman"/>
          <w:color w:val="000000"/>
          <w:sz w:val="20"/>
        </w:rPr>
        <w:t xml:space="preserve">” </w:t>
      </w:r>
      <w:r>
        <w:rPr>
          <w:rFonts w:ascii="Times New Roman" w:hAnsi="Times New Roman"/>
          <w:color w:val="000000"/>
          <w:sz w:val="22"/>
        </w:rPr>
        <w:t>shall mean, at any time of determination, the latest Revolving Commitment Termination Date or Maturity Date applicable to any Loan or Commitment hereunder at such time, including the latest maturity date of any Incremental Facility at such time, in each case as extended in accordance with this Agreement from time to time.</w:t>
      </w:r>
    </w:p>
    <w:p>
      <w:pPr>
        <w:pStyle w:val="TextBody"/>
        <w:bidi w:val="0"/>
        <w:spacing w:before="240" w:after="283"/>
        <w:jc w:val="both"/>
        <w:rPr/>
      </w:pPr>
      <w:bookmarkStart w:id="187" w:name="xlaws__or__law__shall_mean__collectively"/>
      <w:bookmarkEnd w:id="187"/>
      <w:r>
        <w:rPr>
          <w:color w:val="000000"/>
        </w:rPr>
        <w:t>“</w:t>
      </w:r>
      <w:r>
        <w:rPr>
          <w:rFonts w:ascii="Times New Roman" w:hAnsi="Times New Roman"/>
          <w:color w:val="000000"/>
          <w:sz w:val="22"/>
          <w:u w:val="single"/>
        </w:rPr>
        <w:t>Laws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Law</w:t>
      </w:r>
      <w:r>
        <w:rPr>
          <w:rFonts w:ascii="Times New Roman" w:hAnsi="Times New Roman"/>
          <w:color w:val="000000"/>
          <w:sz w:val="20"/>
        </w:rPr>
        <w:t xml:space="preserve">” </w:t>
      </w:r>
      <w:r>
        <w:rPr>
          <w:rFonts w:ascii="Times New Roman" w:hAnsi="Times New Roman"/>
          <w:color w:val="000000"/>
          <w:sz w:val="22"/>
        </w:rPr>
        <w:t>shall mean,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240" w:after="283"/>
        <w:jc w:val="both"/>
        <w:rPr/>
      </w:pPr>
      <w:bookmarkStart w:id="188" w:name="xlca_test_date__shall_have_the_meaning_s"/>
      <w:bookmarkEnd w:id="188"/>
      <w:r>
        <w:rPr>
          <w:color w:val="000000"/>
        </w:rPr>
        <w:t>“</w:t>
      </w:r>
      <w:r>
        <w:rPr>
          <w:rFonts w:ascii="Times New Roman" w:hAnsi="Times New Roman"/>
          <w:color w:val="000000"/>
          <w:sz w:val="22"/>
          <w:u w:val="single"/>
        </w:rPr>
        <w:t>LCA Test Date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1.9</w:t>
      </w:r>
      <w:r>
        <w:rPr>
          <w:rFonts w:ascii="Times New Roman" w:hAnsi="Times New Roman"/>
          <w:color w:val="000000"/>
          <w:sz w:val="22"/>
        </w:rPr>
        <w:t>.</w:t>
      </w:r>
    </w:p>
    <w:p>
      <w:pPr>
        <w:pStyle w:val="TextBody"/>
        <w:bidi w:val="0"/>
        <w:spacing w:before="240" w:after="283"/>
        <w:jc w:val="both"/>
        <w:rPr/>
      </w:pPr>
      <w:bookmarkStart w:id="189" w:name="xlc_commitment__shall_mean_that_portion_"/>
      <w:bookmarkEnd w:id="189"/>
      <w:r>
        <w:rPr>
          <w:color w:val="000000"/>
        </w:rPr>
        <w:t>“</w:t>
      </w:r>
      <w:r>
        <w:rPr>
          <w:rFonts w:ascii="Times New Roman" w:hAnsi="Times New Roman"/>
          <w:color w:val="000000"/>
          <w:sz w:val="22"/>
          <w:u w:val="single"/>
        </w:rPr>
        <w:t>LC Commitment</w:t>
      </w:r>
      <w:r>
        <w:rPr>
          <w:rFonts w:ascii="Times New Roman" w:hAnsi="Times New Roman"/>
          <w:color w:val="000000"/>
          <w:sz w:val="20"/>
        </w:rPr>
        <w:t xml:space="preserve">” </w:t>
      </w:r>
      <w:r>
        <w:rPr>
          <w:rFonts w:ascii="Times New Roman" w:hAnsi="Times New Roman"/>
          <w:color w:val="000000"/>
          <w:sz w:val="22"/>
        </w:rPr>
        <w:t>shall mean that portion of the Aggregate Revolving Commitments that may be used by the Borrower for the issuance of Letters of Credit in an aggregate face amount not to exceed $5,000,000.</w:t>
      </w:r>
    </w:p>
    <w:p>
      <w:pPr>
        <w:pStyle w:val="TextBody"/>
        <w:bidi w:val="0"/>
        <w:spacing w:before="240" w:after="283"/>
        <w:jc w:val="both"/>
        <w:rPr/>
      </w:pPr>
      <w:bookmarkStart w:id="190" w:name="xlc_disbursement__shall_mean_a_payment_m"/>
      <w:bookmarkEnd w:id="190"/>
      <w:r>
        <w:rPr>
          <w:color w:val="000000"/>
        </w:rPr>
        <w:t>“</w:t>
      </w:r>
      <w:r>
        <w:rPr>
          <w:rFonts w:ascii="Times New Roman" w:hAnsi="Times New Roman"/>
          <w:color w:val="000000"/>
          <w:sz w:val="22"/>
          <w:u w:val="single"/>
        </w:rPr>
        <w:t>LC Disbursement</w:t>
      </w:r>
      <w:r>
        <w:rPr>
          <w:rFonts w:ascii="Times New Roman" w:hAnsi="Times New Roman"/>
          <w:color w:val="000000"/>
          <w:sz w:val="20"/>
        </w:rPr>
        <w:t xml:space="preserve">” </w:t>
      </w:r>
      <w:r>
        <w:rPr>
          <w:rFonts w:ascii="Times New Roman" w:hAnsi="Times New Roman"/>
          <w:color w:val="000000"/>
          <w:sz w:val="22"/>
        </w:rPr>
        <w:t>shall mean a payment made by the Issuing Bank pursuant to a Letter of Credit.</w:t>
      </w:r>
    </w:p>
    <w:p>
      <w:pPr>
        <w:pStyle w:val="TextBody"/>
        <w:bidi w:val="0"/>
        <w:spacing w:before="240" w:after="283"/>
        <w:jc w:val="both"/>
        <w:rPr/>
      </w:pPr>
      <w:bookmarkStart w:id="191" w:name="xlc_documents__shall_mean__as_to_any_let"/>
      <w:bookmarkEnd w:id="191"/>
      <w:r>
        <w:rPr>
          <w:color w:val="000000"/>
        </w:rPr>
        <w:t>“</w:t>
      </w:r>
      <w:r>
        <w:rPr>
          <w:rFonts w:ascii="Times New Roman" w:hAnsi="Times New Roman"/>
          <w:color w:val="000000"/>
          <w:sz w:val="22"/>
          <w:u w:val="single"/>
        </w:rPr>
        <w:t>LC Documents</w:t>
      </w:r>
      <w:r>
        <w:rPr>
          <w:rFonts w:ascii="Times New Roman" w:hAnsi="Times New Roman"/>
          <w:color w:val="000000"/>
          <w:sz w:val="20"/>
        </w:rPr>
        <w:t xml:space="preserve">” </w:t>
      </w:r>
      <w:r>
        <w:rPr>
          <w:rFonts w:ascii="Times New Roman" w:hAnsi="Times New Roman"/>
          <w:color w:val="000000"/>
          <w:sz w:val="22"/>
        </w:rPr>
        <w:t>shall mean, as to any Letter of Credit, each Letter of Credit Application and any other document, agreement and instrument entered into by the Borrower or a Subsidiary with or in favor of the Issuing Bank and relating to such Letter of Credit.</w:t>
      </w:r>
    </w:p>
    <w:p>
      <w:pPr>
        <w:pStyle w:val="TextBody"/>
        <w:bidi w:val="0"/>
        <w:spacing w:before="240" w:after="283"/>
        <w:jc w:val="both"/>
        <w:rPr/>
      </w:pPr>
      <w:bookmarkStart w:id="192" w:name="xlc_exposure__shall_mean__at_any_time__t"/>
      <w:bookmarkEnd w:id="192"/>
      <w:r>
        <w:rPr>
          <w:color w:val="000000"/>
        </w:rPr>
        <w:t>“</w:t>
      </w:r>
      <w:r>
        <w:rPr>
          <w:rFonts w:ascii="Times New Roman" w:hAnsi="Times New Roman"/>
          <w:color w:val="000000"/>
          <w:sz w:val="22"/>
          <w:u w:val="single"/>
        </w:rPr>
        <w:t>LC Exposure</w:t>
      </w:r>
      <w:r>
        <w:rPr>
          <w:rFonts w:ascii="Times New Roman" w:hAnsi="Times New Roman"/>
          <w:color w:val="000000"/>
          <w:sz w:val="20"/>
        </w:rPr>
        <w:t xml:space="preserve">” </w:t>
      </w:r>
      <w:r>
        <w:rPr>
          <w:rFonts w:ascii="Times New Roman" w:hAnsi="Times New Roman"/>
          <w:color w:val="000000"/>
          <w:sz w:val="22"/>
        </w:rPr>
        <w:t xml:space="preserve">shall mean, at any time, the sum of (a) the aggregate undrawn amount of all outstanding Letters of Credit at such time, determined without regard to whether any conditions to drawing could be met at that time,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the aggregate amount of all LC Disbursements that have not yet been reimbursed by or on behalf of the Borrower at such time. The LC Exposure of any Lender at any time shall be its Pro Rata Share of the total LC Exposure at such time. For all purposes of this Agreement, if on any date of determination a Letter of Credit has expired by its terms but any amount may still be drawn thereunder by reason of the operation of Rule 3.14 of the ISP or similar terms in the governing rules or laws or of the Letter of Credit itself, or if compliant documents have been presented but not yet honored, such Letter of Credit shall be deemed to be “outstanding” and “undrawn” in the amount so remaining available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before="240" w:after="283"/>
        <w:jc w:val="both"/>
        <w:rPr/>
      </w:pPr>
      <w:bookmarkStart w:id="193" w:name="xlender_related_hedge_provider__shall_me"/>
      <w:bookmarkEnd w:id="193"/>
      <w:r>
        <w:rPr>
          <w:color w:val="000000"/>
        </w:rPr>
        <w:t>“</w:t>
      </w:r>
      <w:r>
        <w:rPr>
          <w:rFonts w:ascii="Times New Roman" w:hAnsi="Times New Roman"/>
          <w:color w:val="000000"/>
          <w:sz w:val="22"/>
          <w:u w:val="single"/>
        </w:rPr>
        <w:t>Lender-Related Hedge Provider</w:t>
      </w:r>
      <w:r>
        <w:rPr>
          <w:rFonts w:ascii="Times New Roman" w:hAnsi="Times New Roman"/>
          <w:color w:val="000000"/>
          <w:sz w:val="20"/>
        </w:rPr>
        <w:t xml:space="preserve">” </w:t>
      </w:r>
      <w:r>
        <w:rPr>
          <w:rFonts w:ascii="Times New Roman" w:hAnsi="Times New Roman"/>
          <w:color w:val="000000"/>
          <w:sz w:val="22"/>
        </w:rPr>
        <w:t>shall mean any Person that, (a) (i) at the time it enters into a Hedging Transaction with any Loan Party or Subsidiary of Holdings, is a Lender or an Affiliate of a Lender or (ii) has entered into a Hedging Transaction with any Loan Party or Subsidiary of Holdings that exists on the Closing Date, and such Person is a Lender or an Affiliate of a Lender on the Closing Date and (b) except when the Lender-Related Hedge Provider is Truist Bank and its Affiliates, has provided prior written notice to the Administrative Agent which has been acknowledged by the Borrower of the existence of such Hedging Transaction. In no event shall any Lender-Related Hedge Provider acting in such capacity be deemed a Lender for purposes hereof to the extent of and as to Hedging Obligations except that each reference to the term “</w:t>
      </w:r>
      <w:r>
        <w:rPr>
          <w:rFonts w:ascii="Times New Roman" w:hAnsi="Times New Roman"/>
          <w:color w:val="000000"/>
          <w:sz w:val="22"/>
          <w:u w:val="single"/>
        </w:rPr>
        <w:t>Lender</w:t>
      </w:r>
      <w:r>
        <w:rPr>
          <w:rFonts w:ascii="Times New Roman" w:hAnsi="Times New Roman"/>
          <w:color w:val="000000"/>
          <w:sz w:val="20"/>
        </w:rPr>
        <w:t xml:space="preserve">” </w:t>
      </w:r>
      <w:r>
        <w:rPr>
          <w:rFonts w:ascii="Times New Roman" w:hAnsi="Times New Roman"/>
          <w:color w:val="000000"/>
          <w:sz w:val="22"/>
        </w:rPr>
        <w:t xml:space="preserve">in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11.4</w:t>
      </w:r>
      <w:r>
        <w:rPr>
          <w:rFonts w:ascii="Times New Roman" w:hAnsi="Times New Roman"/>
          <w:color w:val="000000"/>
          <w:sz w:val="20"/>
        </w:rPr>
        <w:t xml:space="preserve"> </w:t>
      </w:r>
      <w:r>
        <w:rPr>
          <w:rFonts w:ascii="Times New Roman" w:hAnsi="Times New Roman"/>
          <w:color w:val="000000"/>
          <w:sz w:val="22"/>
        </w:rPr>
        <w:t>shall be deemed to include such Lender-Related Hedge Provider. In no event shall the approval of any such Person in its capacity as Lender-Related Hedge Provider be required in connection with the release or termination of any security interest or Lien of the Administrative Agent.</w:t>
      </w:r>
    </w:p>
    <w:p>
      <w:pPr>
        <w:pStyle w:val="TextBody"/>
        <w:bidi w:val="0"/>
        <w:spacing w:before="240" w:after="283"/>
        <w:jc w:val="both"/>
        <w:rPr/>
      </w:pPr>
      <w:bookmarkStart w:id="194" w:name="xlender_presentation__shall_mean_the_len"/>
      <w:bookmarkEnd w:id="194"/>
      <w:r>
        <w:rPr>
          <w:color w:val="000000"/>
        </w:rPr>
        <w:t>“</w:t>
      </w:r>
      <w:r>
        <w:rPr>
          <w:rFonts w:ascii="Times New Roman" w:hAnsi="Times New Roman"/>
          <w:color w:val="000000"/>
          <w:sz w:val="22"/>
          <w:u w:val="single"/>
        </w:rPr>
        <w:t>Lender Presentation</w:t>
      </w:r>
      <w:r>
        <w:rPr>
          <w:rFonts w:ascii="Times New Roman" w:hAnsi="Times New Roman"/>
          <w:color w:val="000000"/>
          <w:sz w:val="20"/>
        </w:rPr>
        <w:t xml:space="preserve">” </w:t>
      </w:r>
      <w:r>
        <w:rPr>
          <w:rFonts w:ascii="Times New Roman" w:hAnsi="Times New Roman"/>
          <w:color w:val="000000"/>
          <w:sz w:val="22"/>
        </w:rPr>
        <w:t>shall mean the Lender Presentation dated April 16, 2026 relating to the Borrower and the transactions contemplated by this Agreement and the other Loan Documents.</w:t>
      </w:r>
    </w:p>
    <w:p>
      <w:pPr>
        <w:pStyle w:val="TextBody"/>
        <w:bidi w:val="0"/>
        <w:spacing w:before="240" w:after="283"/>
        <w:jc w:val="both"/>
        <w:rPr/>
      </w:pPr>
      <w:bookmarkStart w:id="195" w:name="xlenders__shall_mean_each_of_the_persons"/>
      <w:bookmarkEnd w:id="195"/>
      <w:r>
        <w:rPr>
          <w:color w:val="000000"/>
        </w:rPr>
        <w:t>“</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 xml:space="preserve">shall mean each of the Persons identified as a “Lender” on the signature pages hereto and each Additional Lender that joins this Agreement pursuant to </w:t>
      </w:r>
      <w:r>
        <w:rPr>
          <w:rFonts w:ascii="Times New Roman" w:hAnsi="Times New Roman"/>
          <w:color w:val="000000"/>
          <w:sz w:val="22"/>
          <w:u w:val="single"/>
        </w:rPr>
        <w:t>Section 2.23</w:t>
      </w:r>
      <w:r>
        <w:rPr>
          <w:rFonts w:ascii="Times New Roman" w:hAnsi="Times New Roman"/>
          <w:color w:val="000000"/>
          <w:sz w:val="20"/>
        </w:rPr>
        <w:t xml:space="preserve"> </w:t>
      </w:r>
      <w:r>
        <w:rPr>
          <w:rFonts w:ascii="Times New Roman" w:hAnsi="Times New Roman"/>
          <w:color w:val="000000"/>
          <w:sz w:val="22"/>
        </w:rPr>
        <w:t>and their successors and assigns and shall include, where appropriate, the Swingline Lender but shall not include the Administrative Agent or the Issuing Bank in their respective capacities as the Administrative Agent or as the Issuing Bank.</w:t>
      </w:r>
    </w:p>
    <w:p>
      <w:pPr>
        <w:pStyle w:val="TextBody"/>
        <w:bidi w:val="0"/>
        <w:spacing w:before="240" w:after="283"/>
        <w:jc w:val="both"/>
        <w:rPr/>
      </w:pPr>
      <w:bookmarkStart w:id="196" w:name="xletter_of_credit__shall_mean_any_stand_"/>
      <w:bookmarkEnd w:id="196"/>
      <w:r>
        <w:rPr>
          <w:color w:val="000000"/>
        </w:rPr>
        <w:t>“</w:t>
      </w:r>
      <w:r>
        <w:rPr>
          <w:rFonts w:ascii="Times New Roman" w:hAnsi="Times New Roman"/>
          <w:color w:val="000000"/>
          <w:sz w:val="22"/>
          <w:u w:val="single"/>
        </w:rPr>
        <w:t>Letter of Credit</w:t>
      </w:r>
      <w:r>
        <w:rPr>
          <w:rFonts w:ascii="Times New Roman" w:hAnsi="Times New Roman"/>
          <w:color w:val="000000"/>
          <w:sz w:val="20"/>
        </w:rPr>
        <w:t xml:space="preserve">” </w:t>
      </w:r>
      <w:r>
        <w:rPr>
          <w:rFonts w:ascii="Times New Roman" w:hAnsi="Times New Roman"/>
          <w:color w:val="000000"/>
          <w:sz w:val="22"/>
        </w:rPr>
        <w:t xml:space="preserve">shall mean any stand-by letter of credit issued pursuant to </w:t>
      </w:r>
      <w:r>
        <w:rPr>
          <w:rFonts w:ascii="Times New Roman" w:hAnsi="Times New Roman"/>
          <w:color w:val="000000"/>
          <w:sz w:val="22"/>
          <w:u w:val="single"/>
        </w:rPr>
        <w:t>Section 2.22</w:t>
      </w:r>
      <w:r>
        <w:rPr>
          <w:rFonts w:ascii="Times New Roman" w:hAnsi="Times New Roman"/>
          <w:color w:val="000000"/>
          <w:sz w:val="20"/>
        </w:rPr>
        <w:t xml:space="preserve"> </w:t>
      </w:r>
      <w:r>
        <w:rPr>
          <w:rFonts w:ascii="Times New Roman" w:hAnsi="Times New Roman"/>
          <w:color w:val="000000"/>
          <w:sz w:val="22"/>
        </w:rPr>
        <w:t>by the Issuing Bank for the account of the Borrower or any Subsidiary of Holdings pursuant to the LC Commitment. Letters of Credit shall be available by sight payment and not by deferred payment, acceptance or negotiation. For the avoidance of doubt, the term Letter of Credit shall not include any letter of credit, demand guarantee or other undertaking issued by any Person (including any branch or Affiliate of the Issuing Bank) that is supported by a Letter of Credit issued by the Issuing Bank hereunder pursuant to a back-stop or counter-standby structure.</w:t>
      </w:r>
    </w:p>
    <w:p>
      <w:pPr>
        <w:pStyle w:val="TextBody"/>
        <w:bidi w:val="0"/>
        <w:spacing w:before="240" w:after="283"/>
        <w:jc w:val="both"/>
        <w:rPr/>
      </w:pPr>
      <w:bookmarkStart w:id="197" w:name="xletter_of_credit_application__shall_mea"/>
      <w:bookmarkEnd w:id="197"/>
      <w:r>
        <w:rPr>
          <w:color w:val="000000"/>
        </w:rPr>
        <w:t>“</w:t>
      </w:r>
      <w:r>
        <w:rPr>
          <w:rFonts w:ascii="Times New Roman" w:hAnsi="Times New Roman"/>
          <w:color w:val="000000"/>
          <w:sz w:val="22"/>
          <w:u w:val="single"/>
        </w:rPr>
        <w:t>Letter of Credit Application</w:t>
      </w:r>
      <w:r>
        <w:rPr>
          <w:rFonts w:ascii="Times New Roman" w:hAnsi="Times New Roman"/>
          <w:color w:val="000000"/>
          <w:sz w:val="20"/>
        </w:rPr>
        <w:t xml:space="preserve">” </w:t>
      </w:r>
      <w:r>
        <w:rPr>
          <w:rFonts w:ascii="Times New Roman" w:hAnsi="Times New Roman"/>
          <w:color w:val="000000"/>
          <w:sz w:val="22"/>
        </w:rPr>
        <w:t>shall mean an application and agreement for the issuance or amendment of a Letter of Credit in the form from time to time in use by Issuing Bank.</w:t>
      </w:r>
    </w:p>
    <w:p>
      <w:pPr>
        <w:pStyle w:val="TextBody"/>
        <w:bidi w:val="0"/>
        <w:spacing w:before="240" w:after="283"/>
        <w:jc w:val="both"/>
        <w:rPr/>
      </w:pPr>
      <w:bookmarkStart w:id="198" w:name="xletter_of_credit_fee__shall_have_the_me"/>
      <w:bookmarkEnd w:id="198"/>
      <w:r>
        <w:rPr>
          <w:color w:val="000000"/>
        </w:rPr>
        <w:t>“</w:t>
      </w:r>
      <w:r>
        <w:rPr>
          <w:rFonts w:ascii="Times New Roman" w:hAnsi="Times New Roman"/>
          <w:color w:val="000000"/>
          <w:sz w:val="22"/>
          <w:u w:val="single"/>
        </w:rPr>
        <w:t>Letter of Credit Fee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2.14(c)</w:t>
      </w:r>
      <w:r>
        <w:rPr>
          <w:rFonts w:ascii="Times New Roman" w:hAnsi="Times New Roman"/>
          <w:color w:val="000000"/>
          <w:sz w:val="22"/>
        </w:rPr>
        <w:t>.</w:t>
      </w:r>
    </w:p>
    <w:p>
      <w:pPr>
        <w:pStyle w:val="TextBody"/>
        <w:bidi w:val="0"/>
        <w:spacing w:before="240" w:after="283"/>
        <w:jc w:val="both"/>
        <w:rPr/>
      </w:pPr>
      <w:bookmarkStart w:id="199" w:name="xlien__shall_mean_any_mortgage__pledge__"/>
      <w:bookmarkEnd w:id="199"/>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pStyle w:val="TextBody"/>
        <w:bidi w:val="0"/>
        <w:spacing w:before="240" w:after="283"/>
        <w:jc w:val="both"/>
        <w:rPr/>
      </w:pPr>
      <w:bookmarkStart w:id="200" w:name="xlimited_condition_transaction__shall_me"/>
      <w:bookmarkEnd w:id="200"/>
      <w:r>
        <w:rPr>
          <w:color w:val="000000"/>
        </w:rPr>
        <w:t>“</w:t>
      </w:r>
      <w:r>
        <w:rPr>
          <w:rFonts w:ascii="Times New Roman" w:hAnsi="Times New Roman"/>
          <w:color w:val="000000"/>
          <w:sz w:val="22"/>
          <w:u w:val="single"/>
        </w:rPr>
        <w:t>Limited Condition Transaction</w:t>
      </w:r>
      <w:r>
        <w:rPr>
          <w:rFonts w:ascii="Times New Roman" w:hAnsi="Times New Roman"/>
          <w:color w:val="000000"/>
          <w:sz w:val="20"/>
        </w:rPr>
        <w:t xml:space="preserve">” </w:t>
      </w:r>
      <w:r>
        <w:rPr>
          <w:rFonts w:ascii="Times New Roman" w:hAnsi="Times New Roman"/>
          <w:color w:val="000000"/>
          <w:sz w:val="22"/>
        </w:rPr>
        <w:t>shall mean any Acquisition or other Investment by one or more of the Borrower or any of its Subsidiaries of or in any assets, business or Person permitted by this Agreement whose consummation is not conditioned on the availability of, or on obtaining, third-party financing.</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01" w:name="xliquidity__shall_mean__as_of_any_date_o"/>
      <w:bookmarkEnd w:id="201"/>
      <w:r>
        <w:rPr>
          <w:color w:val="000000"/>
        </w:rPr>
        <w:t>“</w:t>
      </w:r>
      <w:r>
        <w:rPr>
          <w:rFonts w:ascii="Times New Roman" w:hAnsi="Times New Roman"/>
          <w:color w:val="000000"/>
          <w:sz w:val="22"/>
          <w:u w:val="single"/>
        </w:rPr>
        <w:t>Liquidity</w:t>
      </w:r>
      <w:r>
        <w:rPr>
          <w:rFonts w:ascii="Times New Roman" w:hAnsi="Times New Roman"/>
          <w:color w:val="000000"/>
          <w:sz w:val="20"/>
        </w:rPr>
        <w:t xml:space="preserve">” </w:t>
      </w:r>
      <w:r>
        <w:rPr>
          <w:rFonts w:ascii="Times New Roman" w:hAnsi="Times New Roman"/>
          <w:color w:val="000000"/>
          <w:sz w:val="22"/>
        </w:rPr>
        <w:t xml:space="preserve">shall mean, as of any date of determination, the aggregate amount of unrestricted and unencumbered (other than by Liens in favor of the Administrative Agent) cash and Cash Equivalents (measured at fair market value) of the Borrower maintained in the United States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aggregate amount actually available be drawn by the Borrower under the Aggregate Revolving Commitments.</w:t>
      </w:r>
    </w:p>
    <w:p>
      <w:pPr>
        <w:pStyle w:val="TextBody"/>
        <w:bidi w:val="0"/>
        <w:spacing w:before="240" w:after="283"/>
        <w:jc w:val="both"/>
        <w:rPr/>
      </w:pPr>
      <w:bookmarkStart w:id="202" w:name="xloan_documents__shall_mean__collectivel"/>
      <w:bookmarkEnd w:id="202"/>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shall mean, collectively, (a) this Agreement, the Collateral Documents, the LC Documents, the Fee Letter, all Notices of Borrowing, all Notices of Conversion/Continuation, all Compliance Certificates, any promissory notes issued hereunder and (b) any and all other instruments, agreements, documents and writings executed in connection with any of the foregoing which the Borrower and the Administrative Agent designate in a writing signed or acknowledged by the Administrative Agent and the Borrower as a “Loan Document”, except that the term “Loan Documents” shall not include any Letters of Credit issued pursuant to this Agreement.</w:t>
      </w:r>
    </w:p>
    <w:p>
      <w:pPr>
        <w:pStyle w:val="TextBody"/>
        <w:bidi w:val="0"/>
        <w:spacing w:before="240" w:after="283"/>
        <w:jc w:val="both"/>
        <w:rPr/>
      </w:pPr>
      <w:bookmarkStart w:id="203" w:name="xloan_modification_agreement__shall_mean"/>
      <w:bookmarkEnd w:id="203"/>
      <w:r>
        <w:rPr>
          <w:color w:val="000000"/>
        </w:rPr>
        <w:t>“</w:t>
      </w:r>
      <w:r>
        <w:rPr>
          <w:rFonts w:ascii="Times New Roman" w:hAnsi="Times New Roman"/>
          <w:color w:val="000000"/>
          <w:sz w:val="22"/>
          <w:u w:val="single"/>
        </w:rPr>
        <w:t>Loan Modification Agreement</w:t>
      </w:r>
      <w:r>
        <w:rPr>
          <w:rFonts w:ascii="Times New Roman" w:hAnsi="Times New Roman"/>
          <w:color w:val="000000"/>
          <w:sz w:val="20"/>
        </w:rPr>
        <w:t xml:space="preserve">” </w:t>
      </w:r>
      <w:r>
        <w:rPr>
          <w:rFonts w:ascii="Times New Roman" w:hAnsi="Times New Roman"/>
          <w:color w:val="000000"/>
          <w:sz w:val="22"/>
        </w:rPr>
        <w:t xml:space="preserve">shall mean a Loan Modification Agreement, in form reasonably satisfactory to the Administrative Agent, among the Borrower, the Administrative Agent and one or more Accepting Lenders, effecting one or more Permitted Amendments and such other amendments hereto and to the other Loan Documents as are contemplated by </w:t>
      </w:r>
      <w:r>
        <w:rPr>
          <w:rFonts w:ascii="Times New Roman" w:hAnsi="Times New Roman"/>
          <w:color w:val="000000"/>
          <w:sz w:val="22"/>
          <w:u w:val="single"/>
        </w:rPr>
        <w:t>Section 2.28</w:t>
      </w:r>
      <w:r>
        <w:rPr>
          <w:rFonts w:ascii="Times New Roman" w:hAnsi="Times New Roman"/>
          <w:color w:val="000000"/>
          <w:sz w:val="22"/>
        </w:rPr>
        <w:t>.</w:t>
      </w:r>
    </w:p>
    <w:p>
      <w:pPr>
        <w:pStyle w:val="TextBody"/>
        <w:bidi w:val="0"/>
        <w:spacing w:before="240" w:after="283"/>
        <w:jc w:val="both"/>
        <w:rPr/>
      </w:pPr>
      <w:bookmarkStart w:id="204" w:name="xloan_modification_offer__shall_have_the"/>
      <w:bookmarkEnd w:id="204"/>
      <w:r>
        <w:rPr>
          <w:color w:val="000000"/>
        </w:rPr>
        <w:t>“</w:t>
      </w:r>
      <w:r>
        <w:rPr>
          <w:rFonts w:ascii="Times New Roman" w:hAnsi="Times New Roman"/>
          <w:color w:val="000000"/>
          <w:sz w:val="22"/>
          <w:u w:val="single"/>
        </w:rPr>
        <w:t>Loan Modification Offer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2.28(a)</w:t>
      </w:r>
      <w:r>
        <w:rPr>
          <w:rFonts w:ascii="Times New Roman" w:hAnsi="Times New Roman"/>
          <w:color w:val="000000"/>
          <w:sz w:val="22"/>
        </w:rPr>
        <w:t>.</w:t>
      </w:r>
    </w:p>
    <w:p>
      <w:pPr>
        <w:pStyle w:val="TextBody"/>
        <w:bidi w:val="0"/>
        <w:spacing w:before="240" w:after="283"/>
        <w:jc w:val="both"/>
        <w:rPr/>
      </w:pPr>
      <w:bookmarkStart w:id="205" w:name="xloan_parties__shall_mean__collectively_"/>
      <w:bookmarkEnd w:id="205"/>
      <w:r>
        <w:rPr>
          <w:color w:val="000000"/>
        </w:rPr>
        <w:t>“</w:t>
      </w:r>
      <w:r>
        <w:rPr>
          <w:rFonts w:ascii="Times New Roman" w:hAnsi="Times New Roman"/>
          <w:color w:val="000000"/>
          <w:sz w:val="22"/>
          <w:u w:val="single"/>
        </w:rPr>
        <w:t>Loan Parties</w:t>
      </w:r>
      <w:r>
        <w:rPr>
          <w:rFonts w:ascii="Times New Roman" w:hAnsi="Times New Roman"/>
          <w:color w:val="000000"/>
          <w:sz w:val="20"/>
        </w:rPr>
        <w:t xml:space="preserve">” </w:t>
      </w:r>
      <w:r>
        <w:rPr>
          <w:rFonts w:ascii="Times New Roman" w:hAnsi="Times New Roman"/>
          <w:color w:val="000000"/>
          <w:sz w:val="22"/>
        </w:rPr>
        <w:t>shall mean, collectively, the Borrower and each Guarantor.</w:t>
      </w:r>
    </w:p>
    <w:p>
      <w:pPr>
        <w:pStyle w:val="TextBody"/>
        <w:bidi w:val="0"/>
        <w:spacing w:before="240" w:after="283"/>
        <w:jc w:val="both"/>
        <w:rPr/>
      </w:pPr>
      <w:bookmarkStart w:id="206" w:name="xloans__shall_mean_all_revolving_loans__"/>
      <w:bookmarkEnd w:id="206"/>
      <w:r>
        <w:rPr>
          <w:color w:val="000000"/>
        </w:rPr>
        <w:t>“</w:t>
      </w:r>
      <w:r>
        <w:rPr>
          <w:rFonts w:ascii="Times New Roman" w:hAnsi="Times New Roman"/>
          <w:color w:val="000000"/>
          <w:sz w:val="22"/>
          <w:u w:val="single"/>
        </w:rPr>
        <w:t>Loans</w:t>
      </w:r>
      <w:r>
        <w:rPr>
          <w:rFonts w:ascii="Times New Roman" w:hAnsi="Times New Roman"/>
          <w:color w:val="000000"/>
          <w:sz w:val="20"/>
        </w:rPr>
        <w:t xml:space="preserve">” </w:t>
      </w:r>
      <w:r>
        <w:rPr>
          <w:rFonts w:ascii="Times New Roman" w:hAnsi="Times New Roman"/>
          <w:color w:val="000000"/>
          <w:sz w:val="22"/>
        </w:rPr>
        <w:t xml:space="preserve">shall mean all Revolving Loans, Swingline Loans and Term Loans in the aggregate or any of them, as the context shall require, and shall include, where appropriate, any loan made pursuant to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both"/>
        <w:rPr/>
      </w:pPr>
      <w:bookmarkStart w:id="207" w:name="xmarci_settlement_agreement__shall_mean_"/>
      <w:bookmarkEnd w:id="207"/>
      <w:r>
        <w:rPr>
          <w:color w:val="000000"/>
        </w:rPr>
        <w:t>“</w:t>
      </w:r>
      <w:r>
        <w:rPr>
          <w:rFonts w:ascii="Times New Roman" w:hAnsi="Times New Roman"/>
          <w:color w:val="000000"/>
          <w:sz w:val="22"/>
          <w:u w:val="single"/>
        </w:rPr>
        <w:t>Marci Settlement Agreement</w:t>
      </w:r>
      <w:r>
        <w:rPr>
          <w:rFonts w:ascii="Times New Roman" w:hAnsi="Times New Roman"/>
          <w:color w:val="000000"/>
          <w:sz w:val="20"/>
        </w:rPr>
        <w:t xml:space="preserve">” </w:t>
      </w:r>
      <w:r>
        <w:rPr>
          <w:rFonts w:ascii="Times New Roman" w:hAnsi="Times New Roman"/>
          <w:color w:val="000000"/>
          <w:sz w:val="22"/>
        </w:rPr>
        <w:t xml:space="preserve">shall mean that certain settlement agreement, effective on or about June 28, 2024, among, </w:t>
      </w:r>
      <w:r>
        <w:rPr>
          <w:rFonts w:ascii="Times New Roman" w:hAnsi="Times New Roman"/>
          <w:i/>
          <w:color w:val="000000"/>
          <w:sz w:val="22"/>
        </w:rPr>
        <w:t>inter alios</w:t>
      </w:r>
      <w:r>
        <w:rPr>
          <w:rFonts w:ascii="Times New Roman" w:hAnsi="Times New Roman"/>
          <w:color w:val="000000"/>
          <w:sz w:val="22"/>
        </w:rPr>
        <w:t>, the Parent and Marci M. Donovitz.</w:t>
      </w:r>
    </w:p>
    <w:p>
      <w:pPr>
        <w:pStyle w:val="TextBody"/>
        <w:bidi w:val="0"/>
        <w:spacing w:before="240" w:after="283"/>
        <w:jc w:val="both"/>
        <w:rPr/>
      </w:pPr>
      <w:bookmarkStart w:id="208" w:name="xmaster_agreement__shall_have_the_meanin"/>
      <w:bookmarkEnd w:id="208"/>
      <w:r>
        <w:rPr>
          <w:color w:val="000000"/>
        </w:rPr>
        <w:t>“</w:t>
      </w:r>
      <w:r>
        <w:rPr>
          <w:rFonts w:ascii="Times New Roman" w:hAnsi="Times New Roman"/>
          <w:color w:val="000000"/>
          <w:sz w:val="22"/>
          <w:u w:val="single"/>
        </w:rPr>
        <w:t>Master Agreement</w:t>
      </w:r>
      <w:r>
        <w:rPr>
          <w:rFonts w:ascii="Times New Roman" w:hAnsi="Times New Roman"/>
          <w:color w:val="000000"/>
          <w:sz w:val="20"/>
        </w:rPr>
        <w:t xml:space="preserve">” </w:t>
      </w:r>
      <w:r>
        <w:rPr>
          <w:rFonts w:ascii="Times New Roman" w:hAnsi="Times New Roman"/>
          <w:color w:val="000000"/>
          <w:sz w:val="22"/>
        </w:rPr>
        <w:t>shall have the meaning set forth in the definition of “Hedging Transaction.”</w:t>
      </w:r>
    </w:p>
    <w:p>
      <w:pPr>
        <w:pStyle w:val="TextBody"/>
        <w:bidi w:val="0"/>
        <w:spacing w:before="240" w:after="283"/>
        <w:jc w:val="both"/>
        <w:rPr/>
      </w:pPr>
      <w:bookmarkStart w:id="209" w:name="xmaterial_adverse_effect__shall_mean__wi"/>
      <w:bookmarkEnd w:id="209"/>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(a) the business, results of operations, financial condition or assets of the Loan Parties taken as a whole, (b) the ability of the Loan Parties to perform any of their respective obligations under the Loan Documents, (c) the rights and remedies of the Administrative Agent, the Issuing Bank, Swingline Lender, and the Lenders under any of the Loan Documents or (d) the legality, validity or enforceability of any of the Loan Documents.</w:t>
      </w:r>
    </w:p>
    <w:p>
      <w:pPr>
        <w:pStyle w:val="TextBody"/>
        <w:bidi w:val="0"/>
        <w:spacing w:before="240" w:after="283"/>
        <w:jc w:val="both"/>
        <w:rPr/>
      </w:pPr>
      <w:bookmarkStart w:id="210" w:name="xmaterial_agreements__shall_mean__i__all"/>
      <w:bookmarkEnd w:id="210"/>
      <w:r>
        <w:rPr>
          <w:color w:val="000000"/>
        </w:rPr>
        <w:t>“</w:t>
      </w:r>
      <w:r>
        <w:rPr>
          <w:rFonts w:ascii="Times New Roman" w:hAnsi="Times New Roman"/>
          <w:color w:val="000000"/>
          <w:sz w:val="22"/>
          <w:u w:val="single"/>
        </w:rPr>
        <w:t>Material Agreements</w:t>
      </w:r>
      <w:r>
        <w:rPr>
          <w:rFonts w:ascii="Times New Roman" w:hAnsi="Times New Roman"/>
          <w:color w:val="000000"/>
          <w:sz w:val="20"/>
        </w:rPr>
        <w:t xml:space="preserve">” </w:t>
      </w:r>
      <w:r>
        <w:rPr>
          <w:rFonts w:ascii="Times New Roman" w:hAnsi="Times New Roman"/>
          <w:color w:val="000000"/>
          <w:sz w:val="22"/>
        </w:rPr>
        <w:t>shall mean (i) all agreements, indentures or notes governing the terms of any Material Indebtedness, and (ii) all other agreements, documents, contracts, indentures and instruments pursuant to which (A) any Loan Party or any of its Subsidiaries are obligated to make payments in any twelve month period in excess of the Threshold Amount, (B) any Loan Party or any of its Subsidiaries expects to receive revenue in any twelve month period in excess of the Threshold Amount and (C) a default, breach or termination thereof could reasonably be expected to result in a Material Adverse Effect.</w:t>
      </w:r>
    </w:p>
    <w:p>
      <w:pPr>
        <w:pStyle w:val="TextBody"/>
        <w:bidi w:val="0"/>
        <w:spacing w:before="240" w:after="283"/>
        <w:jc w:val="both"/>
        <w:rPr/>
      </w:pPr>
      <w:bookmarkStart w:id="211" w:name="xmaterial_indebtedness__shall_mean_any_i"/>
      <w:bookmarkEnd w:id="211"/>
      <w:r>
        <w:rPr>
          <w:color w:val="000000"/>
        </w:rPr>
        <w:t>“</w:t>
      </w:r>
      <w:r>
        <w:rPr>
          <w:rFonts w:ascii="Times New Roman" w:hAnsi="Times New Roman"/>
          <w:color w:val="000000"/>
          <w:sz w:val="22"/>
          <w:u w:val="single"/>
        </w:rPr>
        <w:t>Material Indebtedness</w:t>
      </w:r>
      <w:r>
        <w:rPr>
          <w:rFonts w:ascii="Times New Roman" w:hAnsi="Times New Roman"/>
          <w:color w:val="000000"/>
          <w:sz w:val="20"/>
        </w:rPr>
        <w:t xml:space="preserve">” </w:t>
      </w:r>
      <w:r>
        <w:rPr>
          <w:rFonts w:ascii="Times New Roman" w:hAnsi="Times New Roman"/>
          <w:color w:val="000000"/>
          <w:sz w:val="22"/>
        </w:rPr>
        <w:t>shall mean any Indebtedness (other than the Commitments, Loans and Letters of Credit) and Hedging Obligations of Holdings, the Borrower or any of their respective Subsidiaries, individually or in an aggregate committed or outstanding principal amount exceeding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Threshold Amount. For purposes of determining the amount of attributed Indebtedness from Hedging Obligations, the “principal amount” of any Hedging Obligations at any time shall be the Net Mark-to-Market Exposure of such Hedging Obligations.</w:t>
      </w:r>
    </w:p>
    <w:p>
      <w:pPr>
        <w:pStyle w:val="TextBody"/>
        <w:bidi w:val="0"/>
        <w:spacing w:before="240" w:after="283"/>
        <w:jc w:val="both"/>
        <w:rPr/>
      </w:pPr>
      <w:bookmarkStart w:id="212" w:name="xmaterial_real_property__shall_mean_any_"/>
      <w:bookmarkEnd w:id="212"/>
      <w:r>
        <w:rPr>
          <w:color w:val="000000"/>
        </w:rPr>
        <w:t>“</w:t>
      </w:r>
      <w:r>
        <w:rPr>
          <w:rFonts w:ascii="Times New Roman" w:hAnsi="Times New Roman"/>
          <w:color w:val="000000"/>
          <w:sz w:val="22"/>
          <w:u w:val="single"/>
        </w:rPr>
        <w:t>Material Real Property</w:t>
      </w:r>
      <w:r>
        <w:rPr>
          <w:rFonts w:ascii="Times New Roman" w:hAnsi="Times New Roman"/>
          <w:color w:val="000000"/>
          <w:sz w:val="20"/>
        </w:rPr>
        <w:t xml:space="preserve">” </w:t>
      </w:r>
      <w:r>
        <w:rPr>
          <w:rFonts w:ascii="Times New Roman" w:hAnsi="Times New Roman"/>
          <w:color w:val="000000"/>
          <w:sz w:val="22"/>
        </w:rPr>
        <w:t xml:space="preserve">shall mean any real property located in the United States that is owned in fee by a Loan Party and which has a fair market value (estimated in good faith by the Borrower) or purchase price equal to or in excess of $5,000,000 as of the time such property is acquired or the date of substantial completion of any material improvement thereof or new construction thereof (or, if such property is owned by a Person on the date it becomes a Loan Party pursuant to </w:t>
      </w:r>
      <w:r>
        <w:rPr>
          <w:rFonts w:ascii="Times New Roman" w:hAnsi="Times New Roman"/>
          <w:color w:val="000000"/>
          <w:sz w:val="22"/>
          <w:u w:val="single"/>
        </w:rPr>
        <w:t>Section 5.10</w:t>
      </w:r>
      <w:r>
        <w:rPr>
          <w:rFonts w:ascii="Times New Roman" w:hAnsi="Times New Roman"/>
          <w:color w:val="000000"/>
          <w:sz w:val="22"/>
        </w:rPr>
        <w:t>, as of such date).</w:t>
      </w:r>
    </w:p>
    <w:p>
      <w:pPr>
        <w:pStyle w:val="TextBody"/>
        <w:bidi w:val="0"/>
        <w:spacing w:before="240" w:after="283"/>
        <w:jc w:val="both"/>
        <w:rPr/>
      </w:pPr>
      <w:bookmarkStart w:id="213" w:name="xmaterial_subsidiary__shall_mean__a__eac"/>
      <w:bookmarkEnd w:id="213"/>
      <w:r>
        <w:rPr>
          <w:color w:val="000000"/>
        </w:rPr>
        <w:t>“</w:t>
      </w:r>
      <w:r>
        <w:rPr>
          <w:rFonts w:ascii="Times New Roman" w:hAnsi="Times New Roman"/>
          <w:color w:val="000000"/>
          <w:sz w:val="22"/>
          <w:u w:val="single"/>
        </w:rPr>
        <w:t>Material Subsidiary</w:t>
      </w:r>
      <w:r>
        <w:rPr>
          <w:rFonts w:ascii="Times New Roman" w:hAnsi="Times New Roman"/>
          <w:color w:val="000000"/>
          <w:sz w:val="20"/>
        </w:rPr>
        <w:t xml:space="preserve">” </w:t>
      </w:r>
      <w:r>
        <w:rPr>
          <w:rFonts w:ascii="Times New Roman" w:hAnsi="Times New Roman"/>
          <w:color w:val="000000"/>
          <w:sz w:val="22"/>
        </w:rPr>
        <w:t xml:space="preserve">shall mean (a) each Wholly-Owned Subsidiary of Holdings that, as of the last day of the Fiscal Quarter most recently ended for which the Borrower has delivered financial statements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 xml:space="preserve">, had revenues or total assets for such quarter in excess of five percent (5.0%) of the consolidated revenues or total assets, as applicable, of Holdings and its Subsidiaries for such Fiscal Quarter or that is designated by the Borrower as a Material Subsidiary and (b) any group comprising Wholly-Owned Subsidiaries that each would not have been a Material Subsidiary under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but that, taken together, as of the last day of the Fiscal Quarter most recently ended for which financial statements are available, had revenues or total assets for such quarter in excess of ten percent (10.0%) of the consolidated revenues or total assets, as applicable, of Holdings and its Subsidiaries for such Fiscal Quarter.</w:t>
      </w:r>
    </w:p>
    <w:p>
      <w:pPr>
        <w:pStyle w:val="TextBody"/>
        <w:bidi w:val="0"/>
        <w:spacing w:before="240" w:after="283"/>
        <w:jc w:val="both"/>
        <w:rPr/>
      </w:pPr>
      <w:bookmarkStart w:id="214" w:name="xmaturity_date__shall_mean__a__with_resp"/>
      <w:bookmarkEnd w:id="214"/>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 xml:space="preserve">shall mean (a) with respect to the Term Loan A, the earlier of (i) May 8, 2031 or (ii) the date on which the principal amount of all outstanding Term Loans has been declared or automatically has become due and payable pursuant to </w:t>
      </w:r>
      <w:r>
        <w:rPr>
          <w:rFonts w:ascii="Times New Roman" w:hAnsi="Times New Roman"/>
          <w:color w:val="000000"/>
          <w:sz w:val="22"/>
          <w:u w:val="single"/>
        </w:rPr>
        <w:t>Section 8.1</w:t>
      </w:r>
      <w:r>
        <w:rPr>
          <w:rFonts w:ascii="Times New Roman" w:hAnsi="Times New Roman"/>
          <w:color w:val="000000"/>
          <w:sz w:val="20"/>
        </w:rPr>
        <w:t xml:space="preserve"> </w:t>
      </w:r>
      <w:r>
        <w:rPr>
          <w:rFonts w:ascii="Times New Roman" w:hAnsi="Times New Roman"/>
          <w:color w:val="000000"/>
          <w:sz w:val="22"/>
        </w:rPr>
        <w:t xml:space="preserve">(whether by acceleration or otherwise) and (b) with respect to any Incremental Term Loan, the earlier of (i) the maturity date identified in the definitive documentation therefor or (ii) the date on which the principal amount of all outstanding Term Loans has been declared or automatically has become due and payable pursuant to </w:t>
      </w:r>
      <w:r>
        <w:rPr>
          <w:rFonts w:ascii="Times New Roman" w:hAnsi="Times New Roman"/>
          <w:color w:val="000000"/>
          <w:sz w:val="22"/>
          <w:u w:val="single"/>
        </w:rPr>
        <w:t>Section 8.1</w:t>
      </w:r>
      <w:r>
        <w:rPr>
          <w:rFonts w:ascii="Times New Roman" w:hAnsi="Times New Roman"/>
          <w:color w:val="000000"/>
          <w:sz w:val="20"/>
        </w:rPr>
        <w:t xml:space="preserve"> </w:t>
      </w:r>
      <w:r>
        <w:rPr>
          <w:rFonts w:ascii="Times New Roman" w:hAnsi="Times New Roman"/>
          <w:color w:val="000000"/>
          <w:sz w:val="22"/>
        </w:rPr>
        <w:t>(whether by acceleration or otherwise).</w:t>
      </w:r>
    </w:p>
    <w:p>
      <w:pPr>
        <w:pStyle w:val="TextBody"/>
        <w:bidi w:val="0"/>
        <w:spacing w:before="240" w:after="283"/>
        <w:jc w:val="both"/>
        <w:rPr/>
      </w:pPr>
      <w:bookmarkStart w:id="215" w:name="xmedicaid__shall_mean_that_means_tested_"/>
      <w:bookmarkEnd w:id="215"/>
      <w:r>
        <w:rPr>
          <w:color w:val="000000"/>
        </w:rPr>
        <w:t>“</w:t>
      </w:r>
      <w:r>
        <w:rPr>
          <w:rFonts w:ascii="Times New Roman" w:hAnsi="Times New Roman"/>
          <w:color w:val="000000"/>
          <w:sz w:val="22"/>
          <w:u w:val="single"/>
        </w:rPr>
        <w:t>Medicaid</w:t>
      </w:r>
      <w:r>
        <w:rPr>
          <w:rFonts w:ascii="Times New Roman" w:hAnsi="Times New Roman"/>
          <w:color w:val="000000"/>
          <w:sz w:val="20"/>
        </w:rPr>
        <w:t xml:space="preserve">” </w:t>
      </w:r>
      <w:r>
        <w:rPr>
          <w:rFonts w:ascii="Times New Roman" w:hAnsi="Times New Roman"/>
          <w:color w:val="000000"/>
          <w:sz w:val="22"/>
        </w:rPr>
        <w:t xml:space="preserve">shall mean that means-tested entitlement program under Title XIX of the Social Security Act, which provides federal grants to states for medical assistance based on specific eligibility criteria, as set forth at Section 1396, </w:t>
      </w:r>
      <w:r>
        <w:rPr>
          <w:rFonts w:ascii="Times New Roman" w:hAnsi="Times New Roman"/>
          <w:i/>
          <w:color w:val="000000"/>
          <w:sz w:val="22"/>
        </w:rPr>
        <w:t xml:space="preserve">et seq. </w:t>
      </w:r>
      <w:r>
        <w:rPr>
          <w:rFonts w:ascii="Times New Roman" w:hAnsi="Times New Roman"/>
          <w:color w:val="000000"/>
          <w:sz w:val="22"/>
        </w:rPr>
        <w:t>of Title 42 of the United States Code, as the same may be amended, and any successor law in respect thereof.</w:t>
      </w:r>
    </w:p>
    <w:p>
      <w:pPr>
        <w:pStyle w:val="TextBody"/>
        <w:bidi w:val="0"/>
        <w:spacing w:before="240" w:after="283"/>
        <w:jc w:val="both"/>
        <w:rPr/>
      </w:pPr>
      <w:bookmarkStart w:id="216" w:name="xmedicaid_regulations__shall_mean__colle"/>
      <w:bookmarkEnd w:id="216"/>
      <w:r>
        <w:rPr>
          <w:color w:val="000000"/>
        </w:rPr>
        <w:t>“</w:t>
      </w:r>
      <w:r>
        <w:rPr>
          <w:rFonts w:ascii="Times New Roman" w:hAnsi="Times New Roman"/>
          <w:color w:val="000000"/>
          <w:sz w:val="22"/>
          <w:u w:val="single"/>
        </w:rPr>
        <w:t>Medicaid Regulations</w:t>
      </w:r>
      <w:r>
        <w:rPr>
          <w:rFonts w:ascii="Times New Roman" w:hAnsi="Times New Roman"/>
          <w:color w:val="000000"/>
          <w:sz w:val="20"/>
        </w:rPr>
        <w:t xml:space="preserve">” </w:t>
      </w:r>
      <w:r>
        <w:rPr>
          <w:rFonts w:ascii="Times New Roman" w:hAnsi="Times New Roman"/>
          <w:color w:val="000000"/>
          <w:sz w:val="22"/>
        </w:rPr>
        <w:t xml:space="preserve">shall mean, collectively, (a) all federal statutes (whether set forth in Title XIX of the Social Security Act or elsewhere) affecting the medical assistance program established by Title XIX of the Social Security Act and any statutes succeeding thereto; (b) all applicable provisions of all federal rules, regulations, manuals and orders of all Governmental Authorities, reimbursement and other guidelines of all Governmental Authorities having the force of law promulgated pursuant to or in connection with the statutes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(c) all state statutes and plans for medical assistance enacted in connection with the statutes and provisions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and (d) all applicable provisions of all rules, regulations, manuals and orders of all Governmental Authorities promulgated pursuant to or in connection with the statutes described in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above and all state administrative, reimbursement and other guidelines of all Governmental Authorities having the force of law promulgated pursuant to or in connection with the statutes described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above, in each case as may be amended, supplemented or otherwise modified from time to time.</w:t>
      </w:r>
    </w:p>
    <w:p>
      <w:pPr>
        <w:pStyle w:val="TextBody"/>
        <w:bidi w:val="0"/>
        <w:spacing w:before="240" w:after="283"/>
        <w:jc w:val="both"/>
        <w:rPr/>
      </w:pPr>
      <w:bookmarkStart w:id="217" w:name="xmedicare__shall_mean_that_government_sp"/>
      <w:bookmarkEnd w:id="217"/>
      <w:r>
        <w:rPr>
          <w:color w:val="000000"/>
        </w:rPr>
        <w:t>“</w:t>
      </w:r>
      <w:r>
        <w:rPr>
          <w:rFonts w:ascii="Times New Roman" w:hAnsi="Times New Roman"/>
          <w:color w:val="000000"/>
          <w:sz w:val="22"/>
          <w:u w:val="single"/>
        </w:rPr>
        <w:t>Medicare</w:t>
      </w:r>
      <w:r>
        <w:rPr>
          <w:rFonts w:ascii="Times New Roman" w:hAnsi="Times New Roman"/>
          <w:color w:val="000000"/>
          <w:sz w:val="20"/>
        </w:rPr>
        <w:t xml:space="preserve">” </w:t>
      </w:r>
      <w:r>
        <w:rPr>
          <w:rFonts w:ascii="Times New Roman" w:hAnsi="Times New Roman"/>
          <w:color w:val="000000"/>
          <w:sz w:val="22"/>
        </w:rPr>
        <w:t xml:space="preserve">shall mean that government-sponsored entitlement program under Title XVIII of the Social Security Act, which provides for a health insurance system for eligible elderly and disabled individuals, as set forth at Section 1395, </w:t>
      </w:r>
      <w:r>
        <w:rPr>
          <w:rFonts w:ascii="Times New Roman" w:hAnsi="Times New Roman"/>
          <w:i/>
          <w:color w:val="000000"/>
          <w:sz w:val="22"/>
        </w:rPr>
        <w:t xml:space="preserve">et seq. </w:t>
      </w:r>
      <w:r>
        <w:rPr>
          <w:rFonts w:ascii="Times New Roman" w:hAnsi="Times New Roman"/>
          <w:color w:val="000000"/>
          <w:sz w:val="22"/>
        </w:rPr>
        <w:t>of Title 42 of the United States Code, as the same may be amended, and any successor law in respect thereof.</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18" w:name="xmedicare_regulations__shall_mean_collec"/>
      <w:bookmarkEnd w:id="218"/>
      <w:r>
        <w:rPr>
          <w:color w:val="000000"/>
        </w:rPr>
        <w:t>“</w:t>
      </w:r>
      <w:r>
        <w:rPr>
          <w:rFonts w:ascii="Times New Roman" w:hAnsi="Times New Roman"/>
          <w:color w:val="000000"/>
          <w:sz w:val="22"/>
          <w:u w:val="single"/>
        </w:rPr>
        <w:t>Medicare Regulations</w:t>
      </w:r>
      <w:r>
        <w:rPr>
          <w:rFonts w:ascii="Times New Roman" w:hAnsi="Times New Roman"/>
          <w:color w:val="000000"/>
          <w:sz w:val="20"/>
        </w:rPr>
        <w:t xml:space="preserve">” </w:t>
      </w:r>
      <w:r>
        <w:rPr>
          <w:rFonts w:ascii="Times New Roman" w:hAnsi="Times New Roman"/>
          <w:color w:val="000000"/>
          <w:sz w:val="22"/>
        </w:rPr>
        <w:t>shall mean collectively, all federal statutes (whether set forth in Title XVIII of the Social Security Act or elsewhere) affecting the health insurance program for the aged and disabled established by Title XVIII of the Social Security Act and any statutes succeeding thereto, together with all applicable provisions of all rules, regulations, manuals and orders and administrative, reimbursement and other guidelines having the force of law of all Governmental Authorities (including CMS, the United States Department of Health and Human Services or any Person succeeding to the functions of any of the foregoing) promulgated pursuant to or in connection with any of the foregoing having the force of law, as the same may be amended, supplemented or otherwise modified from time to time.</w:t>
      </w:r>
    </w:p>
    <w:p>
      <w:pPr>
        <w:pStyle w:val="TextBody"/>
        <w:bidi w:val="0"/>
        <w:spacing w:before="240" w:after="283"/>
        <w:jc w:val="both"/>
        <w:rPr/>
      </w:pPr>
      <w:bookmarkStart w:id="219" w:name="xmoody_s__shall_mean_moody_s_investors_s"/>
      <w:bookmarkEnd w:id="219"/>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shall mean Moody’s Investors Service, Inc.</w:t>
      </w:r>
    </w:p>
    <w:p>
      <w:pPr>
        <w:pStyle w:val="TextBody"/>
        <w:bidi w:val="0"/>
        <w:spacing w:before="240" w:after="283"/>
        <w:jc w:val="both"/>
        <w:rPr/>
      </w:pPr>
      <w:bookmarkStart w:id="220" w:name="xmortgaged_property__shall_mean_any_real"/>
      <w:bookmarkEnd w:id="220"/>
      <w:r>
        <w:rPr>
          <w:color w:val="000000"/>
        </w:rPr>
        <w:t>“</w:t>
      </w:r>
      <w:r>
        <w:rPr>
          <w:rFonts w:ascii="Times New Roman" w:hAnsi="Times New Roman"/>
          <w:color w:val="000000"/>
          <w:sz w:val="22"/>
          <w:u w:val="single"/>
        </w:rPr>
        <w:t>Mortgaged Property</w:t>
      </w:r>
      <w:r>
        <w:rPr>
          <w:rFonts w:ascii="Times New Roman" w:hAnsi="Times New Roman"/>
          <w:color w:val="000000"/>
          <w:sz w:val="20"/>
        </w:rPr>
        <w:t xml:space="preserve">” </w:t>
      </w:r>
      <w:r>
        <w:rPr>
          <w:rFonts w:ascii="Times New Roman" w:hAnsi="Times New Roman"/>
          <w:color w:val="000000"/>
          <w:sz w:val="22"/>
        </w:rPr>
        <w:t>shall mean any real property that is owned by a Loan Party and is subject to a Mortgage.</w:t>
      </w:r>
    </w:p>
    <w:p>
      <w:pPr>
        <w:pStyle w:val="TextBody"/>
        <w:bidi w:val="0"/>
        <w:spacing w:before="240" w:after="283"/>
        <w:jc w:val="both"/>
        <w:rPr/>
      </w:pPr>
      <w:bookmarkStart w:id="221" w:name="xmortgages__shall_mean_the_mortgages__de"/>
      <w:bookmarkEnd w:id="221"/>
      <w:r>
        <w:rPr>
          <w:color w:val="000000"/>
        </w:rPr>
        <w:t>“</w:t>
      </w:r>
      <w:r>
        <w:rPr>
          <w:rFonts w:ascii="Times New Roman" w:hAnsi="Times New Roman"/>
          <w:color w:val="000000"/>
          <w:sz w:val="22"/>
          <w:u w:val="single"/>
        </w:rPr>
        <w:t>Mortgages</w:t>
      </w:r>
      <w:r>
        <w:rPr>
          <w:rFonts w:ascii="Times New Roman" w:hAnsi="Times New Roman"/>
          <w:color w:val="000000"/>
          <w:sz w:val="20"/>
        </w:rPr>
        <w:t xml:space="preserve">” </w:t>
      </w:r>
      <w:r>
        <w:rPr>
          <w:rFonts w:ascii="Times New Roman" w:hAnsi="Times New Roman"/>
          <w:color w:val="000000"/>
          <w:sz w:val="22"/>
        </w:rPr>
        <w:t>shall mean the mortgages, deeds of trust or deeds to secure debt that purport to grant to the Administrative Agent, for the benefit of the Secured Parties, a security interest in the fee interests of any Loan Party in any real property.</w:t>
      </w:r>
    </w:p>
    <w:p>
      <w:pPr>
        <w:pStyle w:val="TextBody"/>
        <w:bidi w:val="0"/>
        <w:spacing w:before="240" w:after="283"/>
        <w:jc w:val="both"/>
        <w:rPr/>
      </w:pPr>
      <w:bookmarkStart w:id="222" w:name="xmultiemployer_plan__shall_mean_any__mul"/>
      <w:bookmarkEnd w:id="222"/>
      <w:r>
        <w:rPr>
          <w:color w:val="000000"/>
        </w:rPr>
        <w:t>“</w:t>
      </w:r>
      <w:r>
        <w:rPr>
          <w:rFonts w:ascii="Times New Roman" w:hAnsi="Times New Roman"/>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shall mean any “multiemployer plan” as defined in Section 4001(a)(3) of ERISA, which is contributed to by (or to which there is or may be an obligation to contribute of) Holdings, any of its Subsidiaries or an ERISA Affiliate, and each such plan for the five-year period immediately following the latest date on which Holdings, any of its Subsidiaries or an ERISA Affiliate contributed to or had an obligation to contribute to such plan.</w:t>
      </w:r>
    </w:p>
    <w:p>
      <w:pPr>
        <w:pStyle w:val="TextBody"/>
        <w:bidi w:val="0"/>
        <w:spacing w:before="240" w:after="283"/>
        <w:jc w:val="both"/>
        <w:rPr/>
      </w:pPr>
      <w:bookmarkStart w:id="223" w:name="xnet_cash_proceeds__shall_mean_the_aggre"/>
      <w:bookmarkEnd w:id="223"/>
      <w:r>
        <w:rPr>
          <w:color w:val="000000"/>
        </w:rPr>
        <w:t>“</w:t>
      </w:r>
      <w:r>
        <w:rPr>
          <w:rFonts w:ascii="Times New Roman" w:hAnsi="Times New Roman"/>
          <w:color w:val="000000"/>
          <w:sz w:val="22"/>
          <w:u w:val="single"/>
        </w:rPr>
        <w:t>Net Cash Proceeds</w:t>
      </w:r>
      <w:r>
        <w:rPr>
          <w:rFonts w:ascii="Times New Roman" w:hAnsi="Times New Roman"/>
          <w:color w:val="000000"/>
          <w:sz w:val="20"/>
        </w:rPr>
        <w:t xml:space="preserve">” </w:t>
      </w:r>
      <w:r>
        <w:rPr>
          <w:rFonts w:ascii="Times New Roman" w:hAnsi="Times New Roman"/>
          <w:color w:val="000000"/>
          <w:sz w:val="22"/>
        </w:rPr>
        <w:t xml:space="preserve">shall mean the aggregate cash or Cash Equivalents proceeds received by Holdings, the Borrower or any of their respective Subsidiaries in respect of any Asset Sale, Recovery Event or any issuance of Indebtedness or equity securities net of (a) direct costs incurred in connection therewith (including legal, accounting and investment banking fees, and sales commissions), (b) taxes paid or payable as a result thereof and (c) in the case of any Asset Sale or any Recovery Event, (i) the amount necessary to retire any Indebtedness secured by a Lien permitted by </w:t>
      </w:r>
      <w:r>
        <w:rPr>
          <w:rFonts w:ascii="Times New Roman" w:hAnsi="Times New Roman"/>
          <w:color w:val="000000"/>
          <w:sz w:val="22"/>
          <w:u w:val="single"/>
        </w:rPr>
        <w:t>Section 7.2</w:t>
      </w:r>
      <w:r>
        <w:rPr>
          <w:rFonts w:ascii="Times New Roman" w:hAnsi="Times New Roman"/>
          <w:color w:val="000000"/>
          <w:sz w:val="20"/>
        </w:rPr>
        <w:t xml:space="preserve"> </w:t>
      </w:r>
      <w:r>
        <w:rPr>
          <w:rFonts w:ascii="Times New Roman" w:hAnsi="Times New Roman"/>
          <w:color w:val="000000"/>
          <w:sz w:val="22"/>
        </w:rPr>
        <w:t xml:space="preserve">(ranking senior to any Lien of the Administrative Agent) on the related property and (ii) the amount of any reserves established by the Borrower or any Loan Party in accordance with GAAP to fund any purchase price adjustment indemnification and similar contingent liabilities in connection therewith held pursuant to the applicable purchase agreement or insurance policy;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to the extent that any such amount ceases to be so reserved (other than any reduction in such reserve to make a payment in respect of such liability or indemnification obligations), the amount thereof shall be deemed to be Net Cash Proceeds of such Asset Sale or Recovery Event at such time.</w:t>
      </w:r>
    </w:p>
    <w:p>
      <w:pPr>
        <w:pStyle w:val="TextBody"/>
        <w:bidi w:val="0"/>
        <w:spacing w:before="240" w:after="283"/>
        <w:jc w:val="both"/>
        <w:rPr/>
      </w:pPr>
      <w:bookmarkStart w:id="224" w:name="xnet_mark_to_market_exposure__of_any_per"/>
      <w:bookmarkEnd w:id="224"/>
      <w:r>
        <w:rPr>
          <w:color w:val="000000"/>
        </w:rPr>
        <w:t>“</w:t>
      </w:r>
      <w:r>
        <w:rPr>
          <w:rFonts w:ascii="Times New Roman" w:hAnsi="Times New Roman"/>
          <w:color w:val="000000"/>
          <w:sz w:val="22"/>
          <w:u w:val="single"/>
        </w:rPr>
        <w:t>Net Mark-to-Market Exposure</w:t>
      </w:r>
      <w:r>
        <w:rPr>
          <w:rFonts w:ascii="Times New Roman" w:hAnsi="Times New Roman"/>
          <w:color w:val="000000"/>
          <w:sz w:val="20"/>
        </w:rPr>
        <w:t xml:space="preserve">” </w:t>
      </w:r>
      <w:r>
        <w:rPr>
          <w:rFonts w:ascii="Times New Roman" w:hAnsi="Times New Roman"/>
          <w:color w:val="000000"/>
          <w:sz w:val="22"/>
        </w:rPr>
        <w:t>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the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pStyle w:val="TextBody"/>
        <w:bidi w:val="0"/>
        <w:spacing w:before="240" w:after="283"/>
        <w:jc w:val="both"/>
        <w:rPr/>
      </w:pPr>
      <w:bookmarkStart w:id="225" w:name="xnon_consenting_lender__shall_mean_any_l"/>
      <w:bookmarkEnd w:id="225"/>
      <w:r>
        <w:rPr>
          <w:color w:val="000000"/>
        </w:rPr>
        <w:t>“</w:t>
      </w:r>
      <w:r>
        <w:rPr>
          <w:rFonts w:ascii="Times New Roman" w:hAnsi="Times New Roman"/>
          <w:color w:val="000000"/>
          <w:sz w:val="22"/>
          <w:u w:val="single"/>
        </w:rPr>
        <w:t>Non-Consenting Lender</w:t>
      </w:r>
      <w:r>
        <w:rPr>
          <w:rFonts w:ascii="Times New Roman" w:hAnsi="Times New Roman"/>
          <w:color w:val="000000"/>
          <w:sz w:val="20"/>
        </w:rPr>
        <w:t xml:space="preserve">” </w:t>
      </w:r>
      <w:r>
        <w:rPr>
          <w:rFonts w:ascii="Times New Roman" w:hAnsi="Times New Roman"/>
          <w:color w:val="000000"/>
          <w:sz w:val="22"/>
        </w:rPr>
        <w:t xml:space="preserve">shall mean any Lender that does not approve any consent, waiver or amendment that (i) requires the approval of all or all affected Lenders in accordance with the terms of </w:t>
      </w:r>
      <w:r>
        <w:rPr>
          <w:rFonts w:ascii="Times New Roman" w:hAnsi="Times New Roman"/>
          <w:color w:val="000000"/>
          <w:sz w:val="22"/>
          <w:u w:val="single"/>
        </w:rPr>
        <w:t>Section 11.2(b)</w:t>
      </w:r>
      <w:r>
        <w:rPr>
          <w:rFonts w:ascii="Times New Roman" w:hAnsi="Times New Roman"/>
          <w:color w:val="000000"/>
          <w:sz w:val="20"/>
        </w:rPr>
        <w:t xml:space="preserve"> </w:t>
      </w:r>
      <w:r>
        <w:rPr>
          <w:rFonts w:ascii="Times New Roman" w:hAnsi="Times New Roman"/>
          <w:color w:val="000000"/>
          <w:sz w:val="22"/>
        </w:rPr>
        <w:t>and (ii) has been approved by the Required Lenders and, in the case of amendments that require the approval of all or all affected Lenders of a particular Class, Required Lenders of such Class.</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26" w:name="xnon_defaulting_lender__shall_mean__at_a"/>
      <w:bookmarkEnd w:id="226"/>
      <w:r>
        <w:rPr>
          <w:color w:val="000000"/>
        </w:rPr>
        <w:t>“</w:t>
      </w:r>
      <w:r>
        <w:rPr>
          <w:rFonts w:ascii="Times New Roman" w:hAnsi="Times New Roman"/>
          <w:color w:val="000000"/>
          <w:sz w:val="22"/>
          <w:u w:val="single"/>
        </w:rPr>
        <w:t>Non-Defaulting Lender</w:t>
      </w:r>
      <w:r>
        <w:rPr>
          <w:rFonts w:ascii="Times New Roman" w:hAnsi="Times New Roman"/>
          <w:color w:val="000000"/>
          <w:sz w:val="20"/>
        </w:rPr>
        <w:t xml:space="preserve">” </w:t>
      </w:r>
      <w:r>
        <w:rPr>
          <w:rFonts w:ascii="Times New Roman" w:hAnsi="Times New Roman"/>
          <w:color w:val="000000"/>
          <w:sz w:val="22"/>
        </w:rPr>
        <w:t>shall mean, at any time, a Lender that is not a Defaulting Lender.</w:t>
      </w:r>
    </w:p>
    <w:p>
      <w:pPr>
        <w:pStyle w:val="TextBody"/>
        <w:bidi w:val="0"/>
        <w:spacing w:before="240" w:after="283"/>
        <w:jc w:val="both"/>
        <w:rPr/>
      </w:pPr>
      <w:bookmarkStart w:id="227" w:name="xnon_u_s__plan__shall_mean_any_plan__fun"/>
      <w:bookmarkEnd w:id="227"/>
      <w:r>
        <w:rPr>
          <w:color w:val="000000"/>
        </w:rPr>
        <w:t>“</w:t>
      </w:r>
      <w:r>
        <w:rPr>
          <w:rFonts w:ascii="Times New Roman" w:hAnsi="Times New Roman"/>
          <w:color w:val="000000"/>
          <w:sz w:val="22"/>
          <w:u w:val="single"/>
        </w:rPr>
        <w:t>Non-U.S. Plan</w:t>
      </w:r>
      <w:r>
        <w:rPr>
          <w:rFonts w:ascii="Times New Roman" w:hAnsi="Times New Roman"/>
          <w:color w:val="000000"/>
          <w:sz w:val="20"/>
        </w:rPr>
        <w:t xml:space="preserve">” </w:t>
      </w:r>
      <w:r>
        <w:rPr>
          <w:rFonts w:ascii="Times New Roman" w:hAnsi="Times New Roman"/>
          <w:color w:val="000000"/>
          <w:sz w:val="22"/>
        </w:rPr>
        <w:t>shall mean any plan, fund (including, without limitation, any superannuation fund) or other similar program established, contributed to (regardless of whether through direct contributions or through employee withholding) or maintained outside the United States by Holdings or one or more of its Subsidiaries primarily for the benefit of employees of Holdings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before="240" w:after="283"/>
        <w:jc w:val="both"/>
        <w:rPr/>
      </w:pPr>
      <w:bookmarkStart w:id="228" w:name="xnote__shall_have_the_meaning_set_forth_"/>
      <w:bookmarkEnd w:id="228"/>
      <w:r>
        <w:rPr>
          <w:color w:val="000000"/>
        </w:rPr>
        <w:t>“</w:t>
      </w:r>
      <w:r>
        <w:rPr>
          <w:rFonts w:ascii="Times New Roman" w:hAnsi="Times New Roman"/>
          <w:color w:val="000000"/>
          <w:sz w:val="22"/>
          <w:u w:val="single"/>
        </w:rPr>
        <w:t>Note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240" w:after="283"/>
        <w:jc w:val="both"/>
        <w:rPr/>
      </w:pPr>
      <w:bookmarkStart w:id="229" w:name="xnotice_of_conversion_continuation__shal"/>
      <w:bookmarkEnd w:id="229"/>
      <w:r>
        <w:rPr>
          <w:color w:val="000000"/>
        </w:rPr>
        <w:t>“</w:t>
      </w:r>
      <w:r>
        <w:rPr>
          <w:rFonts w:ascii="Times New Roman" w:hAnsi="Times New Roman"/>
          <w:color w:val="000000"/>
          <w:sz w:val="22"/>
          <w:u w:val="single"/>
        </w:rPr>
        <w:t>Notice of Conversion/Continuation</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2.7(b)</w:t>
      </w:r>
      <w:r>
        <w:rPr>
          <w:rFonts w:ascii="Times New Roman" w:hAnsi="Times New Roman"/>
          <w:color w:val="000000"/>
          <w:sz w:val="22"/>
        </w:rPr>
        <w:t>.</w:t>
      </w:r>
    </w:p>
    <w:p>
      <w:pPr>
        <w:pStyle w:val="TextBody"/>
        <w:bidi w:val="0"/>
        <w:spacing w:before="240" w:after="283"/>
        <w:jc w:val="both"/>
        <w:rPr/>
      </w:pPr>
      <w:bookmarkStart w:id="230" w:name="xnotice_of_revolving_borrowing__shall_ha"/>
      <w:bookmarkEnd w:id="230"/>
      <w:r>
        <w:rPr>
          <w:color w:val="000000"/>
        </w:rPr>
        <w:t>“</w:t>
      </w:r>
      <w:r>
        <w:rPr>
          <w:rFonts w:ascii="Times New Roman" w:hAnsi="Times New Roman"/>
          <w:color w:val="000000"/>
          <w:sz w:val="22"/>
          <w:u w:val="single"/>
        </w:rPr>
        <w:t>Notice of Revolving Borrowing</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2.3</w:t>
      </w:r>
      <w:r>
        <w:rPr>
          <w:rFonts w:ascii="Times New Roman" w:hAnsi="Times New Roman"/>
          <w:color w:val="000000"/>
          <w:sz w:val="22"/>
        </w:rPr>
        <w:t>.</w:t>
      </w:r>
    </w:p>
    <w:p>
      <w:pPr>
        <w:pStyle w:val="TextBody"/>
        <w:bidi w:val="0"/>
        <w:spacing w:before="240" w:after="283"/>
        <w:jc w:val="both"/>
        <w:rPr/>
      </w:pPr>
      <w:bookmarkStart w:id="231" w:name="xnotice_of_swingline_borrowing__shall_ha"/>
      <w:bookmarkEnd w:id="231"/>
      <w:r>
        <w:rPr>
          <w:color w:val="000000"/>
        </w:rPr>
        <w:t>“</w:t>
      </w:r>
      <w:r>
        <w:rPr>
          <w:rFonts w:ascii="Times New Roman" w:hAnsi="Times New Roman"/>
          <w:color w:val="000000"/>
          <w:sz w:val="22"/>
          <w:u w:val="single"/>
        </w:rPr>
        <w:t>Notice of Swingline Borrowing</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2.4</w:t>
      </w:r>
      <w:r>
        <w:rPr>
          <w:rFonts w:ascii="Times New Roman" w:hAnsi="Times New Roman"/>
          <w:color w:val="000000"/>
          <w:sz w:val="22"/>
        </w:rPr>
        <w:t>.</w:t>
      </w:r>
    </w:p>
    <w:p>
      <w:pPr>
        <w:pStyle w:val="TextBody"/>
        <w:bidi w:val="0"/>
        <w:spacing w:before="240" w:after="283"/>
        <w:jc w:val="both"/>
        <w:rPr/>
      </w:pPr>
      <w:bookmarkStart w:id="232" w:name="xnotices_of_borrowing__shall_mean__colle"/>
      <w:bookmarkEnd w:id="232"/>
      <w:r>
        <w:rPr>
          <w:color w:val="000000"/>
        </w:rPr>
        <w:t>“</w:t>
      </w:r>
      <w:r>
        <w:rPr>
          <w:rFonts w:ascii="Times New Roman" w:hAnsi="Times New Roman"/>
          <w:color w:val="000000"/>
          <w:sz w:val="22"/>
          <w:u w:val="single"/>
        </w:rPr>
        <w:t>Notices of Borrowing</w:t>
      </w:r>
      <w:r>
        <w:rPr>
          <w:rFonts w:ascii="Times New Roman" w:hAnsi="Times New Roman"/>
          <w:color w:val="000000"/>
          <w:sz w:val="20"/>
        </w:rPr>
        <w:t xml:space="preserve">” </w:t>
      </w:r>
      <w:r>
        <w:rPr>
          <w:rFonts w:ascii="Times New Roman" w:hAnsi="Times New Roman"/>
          <w:color w:val="000000"/>
          <w:sz w:val="22"/>
        </w:rPr>
        <w:t>shall mean, collectively, the Notices of Revolving Borrowing and the Notices of Swingline Borrowing.</w:t>
      </w:r>
    </w:p>
    <w:p>
      <w:pPr>
        <w:pStyle w:val="TextBody"/>
        <w:bidi w:val="0"/>
        <w:spacing w:before="240" w:after="283"/>
        <w:jc w:val="both"/>
        <w:rPr/>
      </w:pPr>
      <w:bookmarkStart w:id="233" w:name="xobligations__shall_mean__collectively__"/>
      <w:bookmarkEnd w:id="233"/>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 xml:space="preserve">shall mean, collectively, (a) all amounts owing by the Loan Parties to the Administrative Agent, the Issuing Bank, any Lender (including the Swingline Lender) or the Arrangers pursuant to or in connection with this Agreement or any other Loan Document or otherwise with respect to any Commitment, Loan or Letter of Credit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all reimbursement obligations, obligations pursuant to the Administrative Agent’s Erroneous Payment Subrogation Rights, fees, expenses, indemnification and reimbursement payments, costs and expenses (including all fees and expenses of counsel to the Administrative Agent, the Issuing Bank and any Lender (including the Swingline Lender) incurred pursuant to this Agreement or any other Loan Document), whether direct or indirect, absolute or contingent, liquidated or unliquidated, now existing or hereafter arising hereunder or thereunder, (b) all Hedging Obligations owed by any Loan Party or Subsidiary of Holdings to any Lender-Related Hedge Provider permitted by </w:t>
      </w:r>
      <w:r>
        <w:rPr>
          <w:rFonts w:ascii="Times New Roman" w:hAnsi="Times New Roman"/>
          <w:color w:val="000000"/>
          <w:sz w:val="22"/>
          <w:u w:val="single"/>
        </w:rPr>
        <w:t>Section 7.10</w:t>
      </w:r>
      <w:r>
        <w:rPr>
          <w:rFonts w:ascii="Times New Roman" w:hAnsi="Times New Roman"/>
          <w:color w:val="000000"/>
          <w:sz w:val="22"/>
        </w:rPr>
        <w:t xml:space="preserve">, and (c) all Bank Product Obligations, together with all renewals, extensions, modifications or refinancings of any of the foregoing; </w:t>
      </w:r>
      <w:r>
        <w:rPr>
          <w:rFonts w:ascii="Times New Roman" w:hAnsi="Times New Roman"/>
          <w:color w:val="000000"/>
          <w:sz w:val="22"/>
          <w:u w:val="single"/>
        </w:rPr>
        <w:t>provided</w:t>
      </w:r>
      <w:r>
        <w:rPr>
          <w:rFonts w:ascii="Times New Roman" w:hAnsi="Times New Roman"/>
          <w:color w:val="000000"/>
          <w:sz w:val="22"/>
        </w:rPr>
        <w:t>, that “Obligations” of a Guarantor shall exclude any Excluded Swap Obligations of such Guarantor.</w:t>
      </w:r>
    </w:p>
    <w:p>
      <w:pPr>
        <w:pStyle w:val="TextBody"/>
        <w:bidi w:val="0"/>
        <w:spacing w:before="240" w:after="283"/>
        <w:jc w:val="both"/>
        <w:rPr/>
      </w:pPr>
      <w:bookmarkStart w:id="234" w:name="xofac__shall_mean_the_u_s__department_of"/>
      <w:bookmarkEnd w:id="234"/>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shall mean the U.S. Department of the Treasury’s Office of Foreign Assets Control.</w:t>
      </w:r>
    </w:p>
    <w:p>
      <w:pPr>
        <w:pStyle w:val="TextBody"/>
        <w:bidi w:val="0"/>
        <w:spacing w:before="240" w:after="283"/>
        <w:jc w:val="both"/>
        <w:rPr/>
      </w:pPr>
      <w:bookmarkStart w:id="235" w:name="xoff_balance_sheet_liabilities__of_any_p"/>
      <w:bookmarkEnd w:id="235"/>
      <w:r>
        <w:rPr>
          <w:color w:val="000000"/>
        </w:rPr>
        <w:t>“</w:t>
      </w:r>
      <w:r>
        <w:rPr>
          <w:rFonts w:ascii="Times New Roman" w:hAnsi="Times New Roman"/>
          <w:color w:val="000000"/>
          <w:sz w:val="22"/>
          <w:u w:val="single"/>
        </w:rPr>
        <w:t>Off-Balance Sheet Liabilities</w:t>
      </w:r>
      <w:r>
        <w:rPr>
          <w:rFonts w:ascii="Times New Roman" w:hAnsi="Times New Roman"/>
          <w:color w:val="000000"/>
          <w:sz w:val="20"/>
        </w:rPr>
        <w:t xml:space="preserve">” </w:t>
      </w:r>
      <w:r>
        <w:rPr>
          <w:rFonts w:ascii="Times New Roman" w:hAnsi="Times New Roman"/>
          <w:color w:val="000000"/>
          <w:sz w:val="22"/>
        </w:rPr>
        <w:t>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36" w:name="xorganization_documents__shall_mean___a_"/>
      <w:bookmarkEnd w:id="236"/>
      <w:r>
        <w:rPr>
          <w:color w:val="000000"/>
        </w:rPr>
        <w:t>“</w:t>
      </w:r>
      <w:r>
        <w:rPr>
          <w:rFonts w:ascii="Times New Roman" w:hAnsi="Times New Roman"/>
          <w:color w:val="000000"/>
          <w:sz w:val="22"/>
          <w:u w:val="single"/>
        </w:rPr>
        <w:t>Organization Documents</w:t>
      </w:r>
      <w:r>
        <w:rPr>
          <w:rFonts w:ascii="Times New Roman" w:hAnsi="Times New Roman"/>
          <w:color w:val="000000"/>
          <w:sz w:val="20"/>
        </w:rPr>
        <w:t xml:space="preserve">” </w:t>
      </w:r>
      <w:r>
        <w:rPr>
          <w:rFonts w:ascii="Times New Roman" w:hAnsi="Times New Roman"/>
          <w:color w:val="000000"/>
          <w:sz w:val="22"/>
        </w:rPr>
        <w:t>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240" w:after="283"/>
        <w:jc w:val="both"/>
        <w:rPr/>
      </w:pPr>
      <w:bookmarkStart w:id="237" w:name="xosha__shall_mean_the_occupational_safet"/>
      <w:bookmarkEnd w:id="237"/>
      <w:r>
        <w:rPr>
          <w:color w:val="000000"/>
        </w:rPr>
        <w:t>“</w:t>
      </w:r>
      <w:r>
        <w:rPr>
          <w:rFonts w:ascii="Times New Roman" w:hAnsi="Times New Roman"/>
          <w:color w:val="000000"/>
          <w:sz w:val="22"/>
          <w:u w:val="single"/>
        </w:rPr>
        <w:t>OSHA</w:t>
      </w:r>
      <w:r>
        <w:rPr>
          <w:rFonts w:ascii="Times New Roman" w:hAnsi="Times New Roman"/>
          <w:color w:val="000000"/>
          <w:sz w:val="20"/>
        </w:rPr>
        <w:t xml:space="preserve">” </w:t>
      </w:r>
      <w:r>
        <w:rPr>
          <w:rFonts w:ascii="Times New Roman" w:hAnsi="Times New Roman"/>
          <w:color w:val="000000"/>
          <w:sz w:val="22"/>
        </w:rPr>
        <w:t>shall mean the Occupational Safety and Health Act of 1970 and any successor statute.</w:t>
      </w:r>
    </w:p>
    <w:p>
      <w:pPr>
        <w:pStyle w:val="TextBody"/>
        <w:bidi w:val="0"/>
        <w:spacing w:before="240" w:after="283"/>
        <w:jc w:val="both"/>
        <w:rPr/>
      </w:pPr>
      <w:bookmarkStart w:id="238" w:name="xother_connection_taxes__shall_mean__wit"/>
      <w:bookmarkEnd w:id="238"/>
      <w:r>
        <w:rPr>
          <w:color w:val="000000"/>
        </w:rPr>
        <w:t>“</w:t>
      </w:r>
      <w:r>
        <w:rPr>
          <w:rFonts w:ascii="Times New Roman" w:hAnsi="Times New Roman"/>
          <w:color w:val="000000"/>
          <w:sz w:val="22"/>
          <w:u w:val="single"/>
        </w:rPr>
        <w:t>Other Connection Taxes</w:t>
      </w:r>
      <w:r>
        <w:rPr>
          <w:rFonts w:ascii="Times New Roman" w:hAnsi="Times New Roman"/>
          <w:color w:val="000000"/>
          <w:sz w:val="20"/>
        </w:rPr>
        <w:t xml:space="preserve">” </w:t>
      </w:r>
      <w:r>
        <w:rPr>
          <w:rFonts w:ascii="Times New Roman" w:hAnsi="Times New Roman"/>
          <w:color w:val="000000"/>
          <w:sz w:val="22"/>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240" w:after="283"/>
        <w:jc w:val="both"/>
        <w:rPr/>
      </w:pPr>
      <w:bookmarkStart w:id="239" w:name="xother_loans__shall_mean_one__1__or_more"/>
      <w:bookmarkEnd w:id="239"/>
      <w:r>
        <w:rPr>
          <w:color w:val="000000"/>
        </w:rPr>
        <w:t>“</w:t>
      </w:r>
      <w:r>
        <w:rPr>
          <w:rFonts w:ascii="Times New Roman" w:hAnsi="Times New Roman"/>
          <w:color w:val="000000"/>
          <w:sz w:val="22"/>
          <w:u w:val="single"/>
        </w:rPr>
        <w:t>Other Loans</w:t>
      </w:r>
      <w:r>
        <w:rPr>
          <w:rFonts w:ascii="Times New Roman" w:hAnsi="Times New Roman"/>
          <w:color w:val="000000"/>
          <w:sz w:val="20"/>
        </w:rPr>
        <w:t xml:space="preserve">” </w:t>
      </w:r>
      <w:r>
        <w:rPr>
          <w:rFonts w:ascii="Times New Roman" w:hAnsi="Times New Roman"/>
          <w:color w:val="000000"/>
          <w:sz w:val="22"/>
        </w:rPr>
        <w:t>shall mean one (1) or more Classes of Loans that result from a Refinancing Amendment.</w:t>
      </w:r>
    </w:p>
    <w:p>
      <w:pPr>
        <w:pStyle w:val="TextBody"/>
        <w:bidi w:val="0"/>
        <w:spacing w:before="240" w:after="283"/>
        <w:jc w:val="both"/>
        <w:rPr/>
      </w:pPr>
      <w:bookmarkStart w:id="240" w:name="xother_revolving_commitments__shall_mean"/>
      <w:bookmarkEnd w:id="240"/>
      <w:r>
        <w:rPr>
          <w:color w:val="000000"/>
        </w:rPr>
        <w:t>“</w:t>
      </w:r>
      <w:r>
        <w:rPr>
          <w:rFonts w:ascii="Times New Roman" w:hAnsi="Times New Roman"/>
          <w:color w:val="000000"/>
          <w:sz w:val="22"/>
          <w:u w:val="single"/>
        </w:rPr>
        <w:t>Other Revolving Commitments</w:t>
      </w:r>
      <w:r>
        <w:rPr>
          <w:rFonts w:ascii="Times New Roman" w:hAnsi="Times New Roman"/>
          <w:color w:val="000000"/>
          <w:sz w:val="20"/>
        </w:rPr>
        <w:t xml:space="preserve">” </w:t>
      </w:r>
      <w:r>
        <w:rPr>
          <w:rFonts w:ascii="Times New Roman" w:hAnsi="Times New Roman"/>
          <w:color w:val="000000"/>
          <w:sz w:val="22"/>
        </w:rPr>
        <w:t>shall mean one (1) or more Classes of revolving credit commitments hereunder or extended Revolving Commitments that result from a Refinancing Amendment.</w:t>
      </w:r>
    </w:p>
    <w:p>
      <w:pPr>
        <w:pStyle w:val="TextBody"/>
        <w:bidi w:val="0"/>
        <w:spacing w:before="240" w:after="283"/>
        <w:jc w:val="both"/>
        <w:rPr/>
      </w:pPr>
      <w:bookmarkStart w:id="241" w:name="xother_revolving_loans__shall_mean_the_r"/>
      <w:bookmarkEnd w:id="241"/>
      <w:r>
        <w:rPr>
          <w:color w:val="000000"/>
        </w:rPr>
        <w:t>“</w:t>
      </w:r>
      <w:r>
        <w:rPr>
          <w:rFonts w:ascii="Times New Roman" w:hAnsi="Times New Roman"/>
          <w:color w:val="000000"/>
          <w:sz w:val="22"/>
          <w:u w:val="single"/>
        </w:rPr>
        <w:t>Other Revolving Loans</w:t>
      </w:r>
      <w:r>
        <w:rPr>
          <w:rFonts w:ascii="Times New Roman" w:hAnsi="Times New Roman"/>
          <w:color w:val="000000"/>
          <w:sz w:val="20"/>
        </w:rPr>
        <w:t xml:space="preserve">” </w:t>
      </w:r>
      <w:r>
        <w:rPr>
          <w:rFonts w:ascii="Times New Roman" w:hAnsi="Times New Roman"/>
          <w:color w:val="000000"/>
          <w:sz w:val="22"/>
        </w:rPr>
        <w:t>shall mean the Revolving Loans made pursuant to any Other Revolving Commitment.</w:t>
      </w:r>
    </w:p>
    <w:p>
      <w:pPr>
        <w:pStyle w:val="TextBody"/>
        <w:bidi w:val="0"/>
        <w:spacing w:before="240" w:after="283"/>
        <w:jc w:val="both"/>
        <w:rPr/>
      </w:pPr>
      <w:bookmarkStart w:id="242" w:name="xother_taxes__shall_mean_all_present_or_"/>
      <w:bookmarkEnd w:id="242"/>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2"/>
          <w:u w:val="single"/>
        </w:rPr>
        <w:t>Section 2.25</w:t>
      </w:r>
      <w:r>
        <w:rPr>
          <w:rFonts w:ascii="Times New Roman" w:hAnsi="Times New Roman"/>
          <w:color w:val="000000"/>
          <w:sz w:val="22"/>
        </w:rPr>
        <w:t>).</w:t>
      </w:r>
    </w:p>
    <w:p>
      <w:pPr>
        <w:pStyle w:val="TextBody"/>
        <w:bidi w:val="0"/>
        <w:spacing w:before="240" w:after="283"/>
        <w:jc w:val="both"/>
        <w:rPr/>
      </w:pPr>
      <w:bookmarkStart w:id="243" w:name="xother_term_commitments__shall_mean_one_"/>
      <w:bookmarkEnd w:id="243"/>
      <w:r>
        <w:rPr>
          <w:color w:val="000000"/>
        </w:rPr>
        <w:t>“</w:t>
      </w:r>
      <w:r>
        <w:rPr>
          <w:rFonts w:ascii="Times New Roman" w:hAnsi="Times New Roman"/>
          <w:color w:val="000000"/>
          <w:sz w:val="22"/>
          <w:u w:val="single"/>
        </w:rPr>
        <w:t>Other Term Commitments</w:t>
      </w:r>
      <w:r>
        <w:rPr>
          <w:rFonts w:ascii="Times New Roman" w:hAnsi="Times New Roman"/>
          <w:color w:val="000000"/>
          <w:sz w:val="20"/>
        </w:rPr>
        <w:t xml:space="preserve">” </w:t>
      </w:r>
      <w:r>
        <w:rPr>
          <w:rFonts w:ascii="Times New Roman" w:hAnsi="Times New Roman"/>
          <w:color w:val="000000"/>
          <w:sz w:val="22"/>
        </w:rPr>
        <w:t>shall mean one (1) or more Classes of term loan commitments hereunder that result from a Refinancing Amendment.</w:t>
      </w:r>
    </w:p>
    <w:p>
      <w:pPr>
        <w:pStyle w:val="TextBody"/>
        <w:bidi w:val="0"/>
        <w:spacing w:before="240" w:after="283"/>
        <w:jc w:val="both"/>
        <w:rPr/>
      </w:pPr>
      <w:bookmarkStart w:id="244" w:name="xother_term_loans__shall_mean_one__1__or"/>
      <w:bookmarkEnd w:id="244"/>
      <w:r>
        <w:rPr>
          <w:color w:val="000000"/>
        </w:rPr>
        <w:t>“</w:t>
      </w:r>
      <w:r>
        <w:rPr>
          <w:rFonts w:ascii="Times New Roman" w:hAnsi="Times New Roman"/>
          <w:color w:val="000000"/>
          <w:sz w:val="22"/>
          <w:u w:val="single"/>
        </w:rPr>
        <w:t>Other Term Loans</w:t>
      </w:r>
      <w:r>
        <w:rPr>
          <w:rFonts w:ascii="Times New Roman" w:hAnsi="Times New Roman"/>
          <w:color w:val="000000"/>
          <w:sz w:val="20"/>
        </w:rPr>
        <w:t xml:space="preserve">” </w:t>
      </w:r>
      <w:r>
        <w:rPr>
          <w:rFonts w:ascii="Times New Roman" w:hAnsi="Times New Roman"/>
          <w:color w:val="000000"/>
          <w:sz w:val="22"/>
        </w:rPr>
        <w:t>shall mean one (1) or more Classes of Term Loans that result from a Refinancing Amendment.</w:t>
      </w:r>
    </w:p>
    <w:p>
      <w:pPr>
        <w:pStyle w:val="TextBody"/>
        <w:bidi w:val="0"/>
        <w:spacing w:before="240" w:after="283"/>
        <w:jc w:val="both"/>
        <w:rPr/>
      </w:pPr>
      <w:bookmarkStart w:id="245" w:name="xoutbound_investment_rules__shall_mean_t"/>
      <w:bookmarkEnd w:id="245"/>
      <w:r>
        <w:rPr>
          <w:color w:val="000000"/>
        </w:rPr>
        <w:t>“</w:t>
      </w:r>
      <w:r>
        <w:rPr>
          <w:rFonts w:ascii="Times New Roman" w:hAnsi="Times New Roman"/>
          <w:color w:val="000000"/>
          <w:sz w:val="22"/>
          <w:u w:val="single"/>
        </w:rPr>
        <w:t>Outbound Investment Rules</w:t>
      </w:r>
      <w:r>
        <w:rPr>
          <w:rFonts w:ascii="Times New Roman" w:hAnsi="Times New Roman"/>
          <w:color w:val="000000"/>
          <w:sz w:val="20"/>
        </w:rPr>
        <w:t xml:space="preserve">” </w:t>
      </w:r>
      <w:r>
        <w:rPr>
          <w:rFonts w:ascii="Times New Roman" w:hAnsi="Times New Roman"/>
          <w:color w:val="000000"/>
          <w:sz w:val="22"/>
        </w:rPr>
        <w:t>shall mean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240" w:after="283"/>
        <w:jc w:val="both"/>
        <w:rPr/>
      </w:pPr>
      <w:bookmarkStart w:id="246" w:name="xparent__shall_mean_biote_corp___a_delaw"/>
      <w:bookmarkEnd w:id="246"/>
      <w:r>
        <w:rPr>
          <w:color w:val="000000"/>
        </w:rPr>
        <w:t>“</w:t>
      </w:r>
      <w:r>
        <w:rPr>
          <w:rFonts w:ascii="Times New Roman" w:hAnsi="Times New Roman"/>
          <w:color w:val="000000"/>
          <w:sz w:val="22"/>
          <w:u w:val="single"/>
        </w:rPr>
        <w:t>Parent</w:t>
      </w:r>
      <w:r>
        <w:rPr>
          <w:rFonts w:ascii="Times New Roman" w:hAnsi="Times New Roman"/>
          <w:color w:val="000000"/>
          <w:sz w:val="20"/>
        </w:rPr>
        <w:t xml:space="preserve">” </w:t>
      </w:r>
      <w:r>
        <w:rPr>
          <w:rFonts w:ascii="Times New Roman" w:hAnsi="Times New Roman"/>
          <w:color w:val="000000"/>
          <w:sz w:val="22"/>
        </w:rPr>
        <w:t>shall mean biote Corp., a Delaware corporation.</w:t>
      </w:r>
    </w:p>
    <w:p>
      <w:pPr>
        <w:pStyle w:val="TextBody"/>
        <w:bidi w:val="0"/>
        <w:spacing w:before="240" w:after="283"/>
        <w:jc w:val="both"/>
        <w:rPr/>
      </w:pPr>
      <w:bookmarkStart w:id="247" w:name="xparent_company__shall_mean__with_respec"/>
      <w:bookmarkEnd w:id="247"/>
      <w:r>
        <w:rPr>
          <w:color w:val="000000"/>
        </w:rPr>
        <w:t>“</w:t>
      </w:r>
      <w:r>
        <w:rPr>
          <w:rFonts w:ascii="Times New Roman" w:hAnsi="Times New Roman"/>
          <w:color w:val="000000"/>
          <w:sz w:val="22"/>
          <w:u w:val="single"/>
        </w:rPr>
        <w:t>Parent Company</w:t>
      </w:r>
      <w:r>
        <w:rPr>
          <w:rFonts w:ascii="Times New Roman" w:hAnsi="Times New Roman"/>
          <w:color w:val="000000"/>
          <w:sz w:val="20"/>
        </w:rPr>
        <w:t xml:space="preserve">” </w:t>
      </w:r>
      <w:r>
        <w:rPr>
          <w:rFonts w:ascii="Times New Roman" w:hAnsi="Times New Roman"/>
          <w:color w:val="000000"/>
          <w:sz w:val="22"/>
        </w:rPr>
        <w:t>shall mean, with respect to a Lender, the bank holding company (as defined in Regulation Y), if any, of such Lender, and/or any Person owning, beneficially or of record, directly or indirectly, a majority of the shares of such Lender.</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48" w:name="xparticipant__shall_have_the_meaning_set"/>
      <w:bookmarkEnd w:id="248"/>
      <w:r>
        <w:rPr>
          <w:color w:val="000000"/>
        </w:rPr>
        <w:t>“</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11.4(d</w:t>
      </w:r>
      <w:r>
        <w:rPr>
          <w:rFonts w:ascii="Times New Roman" w:hAnsi="Times New Roman"/>
          <w:color w:val="000000"/>
          <w:sz w:val="22"/>
        </w:rPr>
        <w:t>).</w:t>
      </w:r>
    </w:p>
    <w:p>
      <w:pPr>
        <w:pStyle w:val="TextBody"/>
        <w:bidi w:val="0"/>
        <w:spacing w:before="240" w:after="283"/>
        <w:jc w:val="both"/>
        <w:rPr/>
      </w:pPr>
      <w:bookmarkStart w:id="249" w:name="xparticipant_register__shall_have_the_me"/>
      <w:bookmarkEnd w:id="249"/>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11.4(e)</w:t>
      </w:r>
      <w:r>
        <w:rPr>
          <w:rFonts w:ascii="Times New Roman" w:hAnsi="Times New Roman"/>
          <w:color w:val="000000"/>
          <w:sz w:val="22"/>
        </w:rPr>
        <w:t>.</w:t>
      </w:r>
    </w:p>
    <w:p>
      <w:pPr>
        <w:pStyle w:val="TextBody"/>
        <w:bidi w:val="0"/>
        <w:spacing w:before="240" w:after="283"/>
        <w:jc w:val="both"/>
        <w:rPr/>
      </w:pPr>
      <w:bookmarkStart w:id="250" w:name="xpatriot_act__shall_mean_the_uniting_and"/>
      <w:bookmarkEnd w:id="250"/>
      <w:r>
        <w:rPr>
          <w:color w:val="000000"/>
        </w:rPr>
        <w:t>“</w:t>
      </w:r>
      <w:r>
        <w:rPr>
          <w:rFonts w:ascii="Times New Roman" w:hAnsi="Times New Roman"/>
          <w:color w:val="000000"/>
          <w:sz w:val="22"/>
          <w:u w:val="single"/>
        </w:rPr>
        <w:t>PATRIOT Act</w:t>
      </w:r>
      <w:r>
        <w:rPr>
          <w:rFonts w:ascii="Times New Roman" w:hAnsi="Times New Roman"/>
          <w:color w:val="000000"/>
          <w:sz w:val="20"/>
        </w:rPr>
        <w:t xml:space="preserve">” </w:t>
      </w:r>
      <w:r>
        <w:rPr>
          <w:rFonts w:ascii="Times New Roman" w:hAnsi="Times New Roman"/>
          <w:color w:val="000000"/>
          <w:sz w:val="22"/>
        </w:rPr>
        <w:t>shall mean the Uniting and Strengthening America by Providing Appropriate Tools Required to Intercept and Obstruct Terrorism Act of 2001, Pub. L. 107-56, as amended and in effect from time to time.</w:t>
      </w:r>
    </w:p>
    <w:p>
      <w:pPr>
        <w:pStyle w:val="TextBody"/>
        <w:bidi w:val="0"/>
        <w:spacing w:before="240" w:after="283"/>
        <w:jc w:val="both"/>
        <w:rPr/>
      </w:pPr>
      <w:bookmarkStart w:id="251" w:name="xpayment_office__shall_mean_the_office_o"/>
      <w:bookmarkEnd w:id="251"/>
      <w:r>
        <w:rPr>
          <w:color w:val="000000"/>
        </w:rPr>
        <w:t>“</w:t>
      </w:r>
      <w:r>
        <w:rPr>
          <w:rFonts w:ascii="Times New Roman" w:hAnsi="Times New Roman"/>
          <w:color w:val="000000"/>
          <w:sz w:val="22"/>
          <w:u w:val="single"/>
        </w:rPr>
        <w:t>Payment Office</w:t>
      </w:r>
      <w:r>
        <w:rPr>
          <w:rFonts w:ascii="Times New Roman" w:hAnsi="Times New Roman"/>
          <w:color w:val="000000"/>
          <w:sz w:val="20"/>
        </w:rPr>
        <w:t xml:space="preserve">” </w:t>
      </w:r>
      <w:r>
        <w:rPr>
          <w:rFonts w:ascii="Times New Roman" w:hAnsi="Times New Roman"/>
          <w:color w:val="000000"/>
          <w:sz w:val="22"/>
        </w:rPr>
        <w:t>shall mean the office of the Administrative Agent located at 303 Peachtree Street, N.E., Atlanta, Georgia 30308, or such other location as to which the Administrative Agent shall have given written notice to the Borrower, the Lenders, and the Issuing Bank.</w:t>
      </w:r>
    </w:p>
    <w:p>
      <w:pPr>
        <w:pStyle w:val="TextBody"/>
        <w:bidi w:val="0"/>
        <w:spacing w:before="240" w:after="283"/>
        <w:jc w:val="both"/>
        <w:rPr/>
      </w:pPr>
      <w:bookmarkStart w:id="252" w:name="xpbgc__shall_mean_the_u_s__pension_benef"/>
      <w:bookmarkEnd w:id="252"/>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shall mean the U.S. Pension Benefit Guaranty Corporation referred to and defined in ERISA, and any successor entity performing similar functions.</w:t>
      </w:r>
    </w:p>
    <w:p>
      <w:pPr>
        <w:pStyle w:val="TextBody"/>
        <w:bidi w:val="0"/>
        <w:spacing w:before="240" w:after="283"/>
        <w:jc w:val="both"/>
        <w:rPr/>
      </w:pPr>
      <w:bookmarkStart w:id="253" w:name="xperiodic_term_sofr_determination_day__s"/>
      <w:bookmarkEnd w:id="253"/>
      <w:r>
        <w:rPr>
          <w:color w:val="000000"/>
        </w:rPr>
        <w:t>“</w:t>
      </w:r>
      <w:r>
        <w:rPr>
          <w:rFonts w:ascii="Times New Roman" w:hAnsi="Times New Roman"/>
          <w:color w:val="000000"/>
          <w:sz w:val="22"/>
          <w:u w:val="single"/>
        </w:rPr>
        <w:t>Periodic Term SOFR Determination Day</w:t>
      </w:r>
      <w:r>
        <w:rPr>
          <w:rFonts w:ascii="Times New Roman" w:hAnsi="Times New Roman"/>
          <w:color w:val="000000"/>
          <w:sz w:val="20"/>
        </w:rPr>
        <w:t xml:space="preserve">” </w:t>
      </w:r>
      <w:r>
        <w:rPr>
          <w:rFonts w:ascii="Times New Roman" w:hAnsi="Times New Roman"/>
          <w:color w:val="000000"/>
          <w:sz w:val="22"/>
        </w:rPr>
        <w:t>shall have the meaning set forth in the definition of “Term SOFR”.</w:t>
      </w:r>
    </w:p>
    <w:p>
      <w:pPr>
        <w:pStyle w:val="TextBody"/>
        <w:bidi w:val="0"/>
        <w:spacing w:before="240" w:after="283"/>
        <w:jc w:val="both"/>
        <w:rPr/>
      </w:pPr>
      <w:bookmarkStart w:id="254" w:name="xpermitted_acquisition__shall_mean_any_a"/>
      <w:bookmarkEnd w:id="254"/>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shall mean any Acquisition that either has been approved in writing by the Required Lenders or with respect to which all of the following conditions shall have been satisfied: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Acquired Business is in the same or similar line of business as Holdings and its Subsidiaries and has its primary operations within the United States of America;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Acquisition shall not be a Hostile Acquisition;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 no Default or Event of Default shall exist and be continuing immediately before or immediately after giving effect to such Acquisition, (ii) the representations and warranties made by each of the Loan Parties in each Loan Document shall be true and correct in all material respects (other than those representations and warranties that are expressly qualified by a Material Adverse Effect or other materiality, in which case such representations and warranties shall be true and correct in all respects) as if made on the date of such Acquisition (after giving effect thereto) except to the extent such representations and warranties expressly relate to an earlier date, in which case such representations and warranties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and except that for purposes of this </w:t>
      </w:r>
      <w:r>
        <w:rPr>
          <w:rFonts w:ascii="Times New Roman" w:hAnsi="Times New Roman"/>
          <w:color w:val="000000"/>
          <w:sz w:val="22"/>
          <w:u w:val="single"/>
        </w:rPr>
        <w:t>clause (ii)</w:t>
      </w:r>
      <w:r>
        <w:rPr>
          <w:rFonts w:ascii="Times New Roman" w:hAnsi="Times New Roman"/>
          <w:color w:val="000000"/>
          <w:sz w:val="22"/>
        </w:rPr>
        <w:t xml:space="preserve">, the representations and warranties contained in </w:t>
      </w:r>
      <w:r>
        <w:rPr>
          <w:rFonts w:ascii="Times New Roman" w:hAnsi="Times New Roman"/>
          <w:color w:val="000000"/>
          <w:sz w:val="22"/>
          <w:u w:val="single"/>
        </w:rPr>
        <w:t>Section 4.4</w:t>
      </w:r>
      <w:r>
        <w:rPr>
          <w:color w:val="000000"/>
        </w:rPr>
        <w:t xml:space="preserve"> </w:t>
      </w:r>
      <w:r>
        <w:rPr>
          <w:rFonts w:ascii="Times New Roman" w:hAnsi="Times New Roman"/>
          <w:color w:val="000000"/>
          <w:sz w:val="22"/>
        </w:rPr>
        <w:t xml:space="preserve">shall be deemed to refer to the most recent statements furnished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5.1(b)</w:t>
      </w:r>
      <w:r>
        <w:rPr>
          <w:rFonts w:ascii="Times New Roman" w:hAnsi="Times New Roman"/>
          <w:color w:val="000000"/>
          <w:sz w:val="22"/>
        </w:rPr>
        <w:t xml:space="preserve">, respectively, (iii) after giving effect to such Acquisition on a Pro Forma Basis, (A) the Borrower shall be in compliance with the financial covenants set forth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for the period of four (4) Fiscal Quarters most recently ended prior to the date of determination for which financial statements were delivered under </w:t>
      </w:r>
      <w:r>
        <w:rPr>
          <w:rFonts w:ascii="Times New Roman" w:hAnsi="Times New Roman"/>
          <w:color w:val="000000"/>
          <w:sz w:val="22"/>
          <w:u w:val="single"/>
        </w:rPr>
        <w:t>Section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and (B) the Consolidated Total Net Leverage Ratio shall be no greater than the ratio that is 0.25:1.0 (a “quarter turn”) less than the maximum Consolidated Total Net Leverage Ratio then permitted under </w:t>
      </w:r>
      <w:r>
        <w:rPr>
          <w:rFonts w:ascii="Times New Roman" w:hAnsi="Times New Roman"/>
          <w:color w:val="000000"/>
          <w:sz w:val="22"/>
          <w:u w:val="single"/>
        </w:rPr>
        <w:t>Section 6.1</w:t>
      </w:r>
      <w:r>
        <w:rPr>
          <w:color w:val="000000"/>
        </w:rPr>
        <w:t xml:space="preserve"> </w:t>
      </w:r>
      <w:r>
        <w:rPr>
          <w:rFonts w:ascii="Times New Roman" w:hAnsi="Times New Roman"/>
          <w:color w:val="000000"/>
          <w:sz w:val="22"/>
        </w:rPr>
        <w:t>and (iv) at least five (5) Business Days prior to the consummation of such Acquisition, the Borrower shall have delivered to the Administrative Agent a duly completed Pro Forma Compliance Certificate;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immediately after giving effect to such Acquisition and any Credit Event in connection therewith, the Borrower shall have Liquidity of at least $15,000,000;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upon request, the Borrower shall have promptly furnished to the Administrative Agent such available financial and other information as to such Acquisition or the Acquired Business as the Administrative Agent may reasonably request;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the Acquired Business has earnings before interest, taxes, depreciation and amortization for the period of twelve months most recently ended greater than $10,000,000 on an as-acquired basis, the Administrative Agent shall have received not less than five (5) days prior to the anticipated closing date of any such Acquisition (or such earlier date as the Administrative Agent may agree in its sole discretion), (i) a description of the material terms of such Acquisition and (ii) either, at the Borrower’s option, (A) audited financial statements of the Acquired Business for its most recent fiscal year ended at least ninety (90) days prior to any date of determination, which audited financial statements shall have been audited by independent public accountants of nationally recognized standing or otherwise reasonably acceptable to the Administrative Agent, and financial statements for any fiscal quarters ended within the fiscal year to date and at least forty five (45) days prior to the date of determination prepared by management of the Acquired Business (which shall be certified by the chief financial officer or treasurer (or manager or member holding performing similar roles) of the Acquired Business as fairly presenting in all material respects the consolidated financial condition of the Acquired Business and its subsidiaries as of such dates and the consolidated results of operations for such periods in conformity with GAAP consistently applied, subject to year-end audit adjustments and the absence of footnotes in the case of the statements), or (B) a quality of earnings report or other due diligence report on the Acquired Business from a third party reasonably acceptable to the Administrative Agent, which report shall be in form and detail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a new Subsidiary is formed or acquired as a result of or in connection with such Acquisition, the Borrower shall have caused such Subsidiary to join as a Guarantor within thirty (30) calendar days of the Acquisition (or such later date as the Administrative Agent may agree in its sole discretion) to the extent required by </w:t>
      </w:r>
      <w:r>
        <w:rPr>
          <w:rFonts w:ascii="Times New Roman" w:hAnsi="Times New Roman"/>
          <w:color w:val="000000"/>
          <w:sz w:val="22"/>
          <w:u w:val="single"/>
        </w:rPr>
        <w:t>Sections 5.10</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5.11</w:t>
      </w:r>
      <w:r>
        <w:rPr>
          <w:color w:val="000000"/>
        </w:rPr>
        <w:t xml:space="preserve"> </w:t>
      </w:r>
      <w:r>
        <w:rPr>
          <w:rFonts w:ascii="Times New Roman" w:hAnsi="Times New Roman"/>
          <w:color w:val="000000"/>
          <w:sz w:val="22"/>
        </w:rPr>
        <w:t>in connection therewith;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Acquired Business shall have earnings before interest, taxes, depreciation and amortization, measured for the period consisting of the most recently ended twelve months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 of greater than $0.00 on an as-acquired basis;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portion of Consolidated EBITDA generated by the Acquired Business outside the United States and all other foreign operations of Holdings and its Subsidiaries does not exceed 20% of Consolidated EBITDA on a Pro Forma Basis for the most recently ended four (4) Fiscal Quarter period for which financial statements have been delivered pursuant to </w:t>
      </w:r>
      <w:r>
        <w:rPr>
          <w:rFonts w:ascii="Times New Roman" w:hAnsi="Times New Roman"/>
          <w:color w:val="000000"/>
          <w:sz w:val="22"/>
          <w:u w:val="single"/>
        </w:rPr>
        <w:t>Sections</w:t>
      </w:r>
      <w:r>
        <w:rPr>
          <w:color w:val="000000"/>
        </w:rPr>
        <w:t xml:space="preserve"> </w:t>
      </w:r>
      <w:r>
        <w:rPr>
          <w:rFonts w:ascii="Times New Roman" w:hAnsi="Times New Roman"/>
          <w:color w:val="000000"/>
          <w:sz w:val="22"/>
          <w:u w:val="single"/>
        </w:rPr>
        <w:t>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255" w:name="xpermitted_amendment__shall_mean_an_amen"/>
      <w:bookmarkEnd w:id="255"/>
      <w:r>
        <w:rPr>
          <w:color w:val="000000"/>
        </w:rPr>
        <w:t>“</w:t>
      </w:r>
      <w:r>
        <w:rPr>
          <w:rFonts w:ascii="Times New Roman" w:hAnsi="Times New Roman"/>
          <w:color w:val="000000"/>
          <w:sz w:val="22"/>
          <w:u w:val="single"/>
        </w:rPr>
        <w:t>Permitted Amendment</w:t>
      </w:r>
      <w:r>
        <w:rPr>
          <w:rFonts w:ascii="Times New Roman" w:hAnsi="Times New Roman"/>
          <w:color w:val="000000"/>
          <w:sz w:val="20"/>
        </w:rPr>
        <w:t xml:space="preserve">” </w:t>
      </w:r>
      <w:r>
        <w:rPr>
          <w:rFonts w:ascii="Times New Roman" w:hAnsi="Times New Roman"/>
          <w:color w:val="000000"/>
          <w:sz w:val="22"/>
        </w:rPr>
        <w:t xml:space="preserve">shall mean an amendment to this Agreement and, if applicable, the other Loan Documents, effected in connection with a Loan Modification Offer pursuant to </w:t>
      </w:r>
      <w:r>
        <w:rPr>
          <w:rFonts w:ascii="Times New Roman" w:hAnsi="Times New Roman"/>
          <w:color w:val="000000"/>
          <w:sz w:val="22"/>
          <w:u w:val="single"/>
        </w:rPr>
        <w:t>Section 2.28</w:t>
      </w:r>
      <w:r>
        <w:rPr>
          <w:rFonts w:ascii="Times New Roman" w:hAnsi="Times New Roman"/>
          <w:color w:val="000000"/>
          <w:sz w:val="22"/>
        </w:rPr>
        <w:t>, providing for an extension of a maturity date applicable to the Loans and/or Commitments of the Accepting Lenders and, in connection therewith, (a) a change in the Applicable Margin with respect to the Loans and/or Commitments of the Accepting Lenders, and/or (b) a change in the fees payable to, or the inclusion of new fees to be payable to, the Accepting Lenders, and/or (c) any call protection with respect to the Loans and/or commitments of the Accepting Lenders, and/or (d) any changes to any prepayment provisions with respect to the Loans of such Accepting Lenders that are less favorable to such Accepting Lenders than to the Non-Accepting Lenders with respect to such applicable Loans and/or (e) additional covenants or other provisions applicable only to periods after the Latest Maturity Date at the time of such Loan Modification Offer (it being understood that to the extent that any financial maintenance covenant is added for the benefit of any such Loans and/or Commitments, no consent shall be required by the Administrative Agent or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Lenders if such financial maintenance covenant is either (i) also added for the benefit of any corresponding Loans remaining outstanding after the issuance or incurrence of such Loans and/or Commitments or (ii) only applicable after the Latest Maturity Date at the time of such Loan Modification Offer).</w:t>
      </w:r>
    </w:p>
    <w:p>
      <w:pPr>
        <w:pStyle w:val="TextBody"/>
        <w:bidi w:val="0"/>
        <w:spacing w:before="240" w:after="283"/>
        <w:jc w:val="both"/>
        <w:rPr/>
      </w:pPr>
      <w:bookmarkStart w:id="256" w:name="xpermitted_encumbrances__shall_mean_"/>
      <w:bookmarkEnd w:id="256"/>
      <w:r>
        <w:rPr>
          <w:color w:val="000000"/>
        </w:rPr>
        <w:t>“</w:t>
      </w:r>
      <w:r>
        <w:rPr>
          <w:rFonts w:ascii="Times New Roman" w:hAnsi="Times New Roman"/>
          <w:color w:val="000000"/>
          <w:sz w:val="22"/>
          <w:u w:val="single"/>
        </w:rPr>
        <w:t>Permitted Encumbrances</w:t>
      </w:r>
      <w:r>
        <w:rPr>
          <w:rFonts w:ascii="Times New Roman" w:hAnsi="Times New Roman"/>
          <w:color w:val="000000"/>
          <w:sz w:val="20"/>
        </w:rPr>
        <w:t xml:space="preserve">” </w:t>
      </w:r>
      <w:r>
        <w:rPr>
          <w:rFonts w:ascii="Times New Roman" w:hAnsi="Times New Roman"/>
          <w:color w:val="000000"/>
          <w:sz w:val="22"/>
        </w:rPr>
        <w:t>shall mean: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imposed by Law for taxes not yet due or which are being contested in good faith by appropriate proceedings conducted in good faith and with respect to which adequate reserves are being maintained in accordance with GAAP to the extent required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statutory Liens of landlords, carriers, warehousemen, mechanics, materialmen and other Liens imposed by Law in the ordinary course of business for amounts not yet due or which are being contested in good faith by appropriate proceedings conducted in good faith and with respect to which adequate reserves are being maintained in accordance with GAAP to the extent required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pledges and deposits made in the ordinary course of business in compliance with workers’ compensation, unemployment insurance and other social security Laws or regulations;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deposits to secure the performance of bids, trade contracts, leases, statutory obligations, surety and appeal bonds, performance bonds and other obligations of a like nature, in each case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judgment and attachment liens not giving rise to a Default or an Event of Default or Liens created by or existing from any litigation or legal proceeding that are currently being contested in good faith by appropriate proceedings conducted in good faith and with respect to which adequate reserves are being maintained in accordance with GAAP to the extent required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customary rights of set-off, revocation, refund or chargeback under deposit agreements or under the Uniform Commercial Code or common law of banks or other financial institutions where Holdings or any of its Subsidiaries maintains deposits (other than deposits intended as cash collateral) in the ordinary course of business;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Holdings and its Subsidiaries taken as a whole;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that the term “Permitted Encumbrances” shall not include any Lien securing Indebtedness.</w:t>
      </w:r>
    </w:p>
    <w:p>
      <w:pPr>
        <w:pStyle w:val="TextBody"/>
        <w:bidi w:val="0"/>
        <w:spacing w:before="240" w:after="283"/>
        <w:jc w:val="both"/>
        <w:rPr/>
      </w:pPr>
      <w:bookmarkStart w:id="257" w:name="xpermitted_junior_refinancing_debt__shal"/>
      <w:bookmarkEnd w:id="257"/>
      <w:r>
        <w:rPr>
          <w:color w:val="000000"/>
        </w:rPr>
        <w:t>“</w:t>
      </w:r>
      <w:r>
        <w:rPr>
          <w:rFonts w:ascii="Times New Roman" w:hAnsi="Times New Roman"/>
          <w:color w:val="000000"/>
          <w:sz w:val="22"/>
          <w:u w:val="single"/>
        </w:rPr>
        <w:t>Permitted Junior Refinancing Debt</w:t>
      </w:r>
      <w:r>
        <w:rPr>
          <w:rFonts w:ascii="Times New Roman" w:hAnsi="Times New Roman"/>
          <w:color w:val="000000"/>
          <w:sz w:val="20"/>
        </w:rPr>
        <w:t xml:space="preserve">” </w:t>
      </w:r>
      <w:r>
        <w:rPr>
          <w:rFonts w:ascii="Times New Roman" w:hAnsi="Times New Roman"/>
          <w:color w:val="000000"/>
          <w:sz w:val="22"/>
        </w:rPr>
        <w:t xml:space="preserve">shall mean any secured Indebtedness incurred by the Borrower or any Loan Party in the form of one or more series of notes or loans that are secured by the Collateral on a junior basis to the Obligations in a manner and to the extent reasonably acceptable to the Administrative Agent (including, without limitation, the entry into of the Second Lien Intercreditor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Indebtedness constitutes Credit Agreement Refinancing Indebtedness.</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58" w:name="xpermitted_refinancing__shall_mean__with"/>
      <w:bookmarkEnd w:id="258"/>
      <w:r>
        <w:rPr>
          <w:color w:val="000000"/>
        </w:rPr>
        <w:t>“</w:t>
      </w:r>
      <w:r>
        <w:rPr>
          <w:rFonts w:ascii="Times New Roman" w:hAnsi="Times New Roman"/>
          <w:color w:val="000000"/>
          <w:sz w:val="22"/>
          <w:u w:val="single"/>
        </w:rPr>
        <w:t>Permitted Refinancing</w:t>
      </w:r>
      <w:r>
        <w:rPr>
          <w:rFonts w:ascii="Times New Roman" w:hAnsi="Times New Roman"/>
          <w:color w:val="000000"/>
          <w:sz w:val="20"/>
        </w:rPr>
        <w:t xml:space="preserve">” </w:t>
      </w:r>
      <w:r>
        <w:rPr>
          <w:rFonts w:ascii="Times New Roman" w:hAnsi="Times New Roman"/>
          <w:color w:val="000000"/>
          <w:sz w:val="22"/>
        </w:rPr>
        <w:t xml:space="preserve">shall mean, with respect to any Person, any modification, refinancing, refunding, renewal or extension of any Indebtedness of such Person;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the principal amount (or accreted value, if applicable) thereof does not exceed the principal amount (or accreted value, if applicable) of the Indebtedness so modified, refinanced, refunded, renewed or extended except by an amount equal to the Additional Refinancing Amount related thereto and by an amount equal to any existing revolving commitments unutilized thereunder to the extent that the portion of any existing and unutilized revolving commitment being refinanced was permitted to be drawn under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7.2</w:t>
      </w:r>
      <w:r>
        <w:rPr>
          <w:rFonts w:ascii="Times New Roman" w:hAnsi="Times New Roman"/>
          <w:color w:val="000000"/>
          <w:sz w:val="20"/>
        </w:rPr>
        <w:t xml:space="preserve"> </w:t>
      </w:r>
      <w:r>
        <w:rPr>
          <w:rFonts w:ascii="Times New Roman" w:hAnsi="Times New Roman"/>
          <w:color w:val="000000"/>
          <w:sz w:val="22"/>
        </w:rPr>
        <w:t xml:space="preserve">of this Agreement immediately prior to such refinancing (other than by reference to a Permitted Refinancing), (b) Indebtedness resulting from such modification, refinancing, refunding, renewal or extension has a final maturity date equal to or later than the final maturity date of, and has a Weighted Average Life to Maturity equal to or greater than the remaining Weighted Average Life to Maturity of, the Indebtedness being modified, refinanced, refunded, renewed or extended, (c) if the Indebtedness being modified, refinanced, refunded, renewed or extended is subordinated in right of payment to the Obligations, Indebtedness resulting from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(d) immediately after giving effect thereto, no Event of Default shall have occurred and be continuing, (e) if the Indebtedness being modified, refinanced, refunded, renewed or extended is Permitted Junior Refinancing Debt, Permitted Senior Refinancing Debt or Permitted Unsecured Refinancing Debt (or any Indebtedness which at any point prior to its modification, refunding, renewal, or extension constituted Permitted Junior Refinancing Debt, Permitted Senior Refinancing Debt or Permitted Unsecured Refinancing Debt), such Indebtedness complies with the Required Additional Debt Terms, and (f) if the Indebtedness being modified, refinanced, refunded, renewed or extended is permitted pursuant to </w:t>
      </w:r>
      <w:r>
        <w:rPr>
          <w:rFonts w:ascii="Times New Roman" w:hAnsi="Times New Roman"/>
          <w:color w:val="000000"/>
          <w:sz w:val="22"/>
          <w:u w:val="single"/>
        </w:rPr>
        <w:t>Section 7.1(a)(ii)</w:t>
      </w:r>
      <w:r>
        <w:rPr>
          <w:rFonts w:ascii="Times New Roman" w:hAnsi="Times New Roman"/>
          <w:color w:val="000000"/>
          <w:sz w:val="22"/>
        </w:rPr>
        <w:t xml:space="preserve">, (i) the covenants and events of default of Indebtedness resulting from such modification, refinancing, refunding, renewal or extension, taken as a whole, are not materially more favorable to the investors providing such Indebtedness than the covenants and events of default of the Indebtedness being modified, refinanced, refunded, renewed or extended (except for covenants or other provisions applicable to periods after the Latest Maturity Date at the time such Indebtedness is incurred) (it being understood that, to the extent that any financial maintenance covenant is added for the benefit of any such Permitted Refinancing, the terms shall not be considered materially more favorable if such financial maintenance covenant is either (A) also added for the benefit of any corresponding Loans remaining outstanding after the issuance or incurrence of such Permitted Refinancing or (B) only applicable after the Latest Maturity Date at the time of such refinancing);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certificate of a Responsible Officer delivered to the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Holdings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For the avoidance of doubt, it is understood that a Permitted Refinancing may constitute a portion of an issuance of Indebtedness in excess of the amount of such Permitted Refinancing;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excess amount is otherwise permitted to be incurred under </w:t>
      </w:r>
      <w:r>
        <w:rPr>
          <w:rFonts w:ascii="Times New Roman" w:hAnsi="Times New Roman"/>
          <w:color w:val="000000"/>
          <w:sz w:val="22"/>
          <w:u w:val="single"/>
        </w:rPr>
        <w:t>Section 7.1</w:t>
      </w:r>
      <w:r>
        <w:rPr>
          <w:rFonts w:ascii="Times New Roman" w:hAnsi="Times New Roman"/>
          <w:color w:val="000000"/>
          <w:sz w:val="22"/>
        </w:rPr>
        <w:t>. For the avoidance of doubt, it is understood and agreed that a Permitted Refinancing includes successive Permitted Refinancings of the same Indebtedness.</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59" w:name="xpermitted_senior_refinancing_debt__shal"/>
      <w:bookmarkEnd w:id="259"/>
      <w:r>
        <w:rPr>
          <w:color w:val="000000"/>
        </w:rPr>
        <w:t>“</w:t>
      </w:r>
      <w:r>
        <w:rPr>
          <w:rFonts w:ascii="Times New Roman" w:hAnsi="Times New Roman"/>
          <w:color w:val="000000"/>
          <w:sz w:val="22"/>
          <w:u w:val="single"/>
        </w:rPr>
        <w:t>Permitted Senior Refinancing Debt</w:t>
      </w:r>
      <w:r>
        <w:rPr>
          <w:rFonts w:ascii="Times New Roman" w:hAnsi="Times New Roman"/>
          <w:color w:val="000000"/>
          <w:sz w:val="20"/>
        </w:rPr>
        <w:t xml:space="preserve">” </w:t>
      </w:r>
      <w:r>
        <w:rPr>
          <w:rFonts w:ascii="Times New Roman" w:hAnsi="Times New Roman"/>
          <w:color w:val="000000"/>
          <w:sz w:val="22"/>
        </w:rPr>
        <w:t xml:space="preserve">shall mean any secured Indebtedness incurred by the Borrower or any other Loan Party in the form of one or more series of senior notes or senior loans that are secured by the Collateral on an equal priority basis (but without regard to control of remedies) with the Obligations in a manner and to the extent reasonably acceptable to the Administrative Agent (including, without limitation, the entry into of the First Lien Intercreditor Agreement); </w:t>
      </w:r>
      <w:r>
        <w:rPr>
          <w:rFonts w:ascii="Times New Roman" w:hAnsi="Times New Roman"/>
          <w:color w:val="000000"/>
          <w:sz w:val="22"/>
          <w:u w:val="single"/>
        </w:rPr>
        <w:t>provided</w:t>
      </w:r>
      <w:r>
        <w:rPr>
          <w:rFonts w:ascii="Times New Roman" w:hAnsi="Times New Roman"/>
          <w:color w:val="000000"/>
          <w:sz w:val="22"/>
        </w:rPr>
        <w:t>, that such Indebtedness constitutes Credit Agreement Refinancing Indebtedness.</w:t>
      </w:r>
    </w:p>
    <w:p>
      <w:pPr>
        <w:pStyle w:val="TextBody"/>
        <w:bidi w:val="0"/>
        <w:spacing w:before="240" w:after="283"/>
        <w:jc w:val="both"/>
        <w:rPr/>
      </w:pPr>
      <w:bookmarkStart w:id="260" w:name="xpermitted_subordinated_indebtedness__sh"/>
      <w:bookmarkEnd w:id="260"/>
      <w:r>
        <w:rPr>
          <w:color w:val="000000"/>
        </w:rPr>
        <w:t>“</w:t>
      </w:r>
      <w:r>
        <w:rPr>
          <w:rFonts w:ascii="Times New Roman" w:hAnsi="Times New Roman"/>
          <w:color w:val="000000"/>
          <w:sz w:val="22"/>
          <w:u w:val="single"/>
        </w:rPr>
        <w:t>Permitted Subordinated Indebtedness</w:t>
      </w:r>
      <w:r>
        <w:rPr>
          <w:rFonts w:ascii="Times New Roman" w:hAnsi="Times New Roman"/>
          <w:color w:val="000000"/>
          <w:sz w:val="20"/>
        </w:rPr>
        <w:t xml:space="preserve">” </w:t>
      </w:r>
      <w:r>
        <w:rPr>
          <w:rFonts w:ascii="Times New Roman" w:hAnsi="Times New Roman"/>
          <w:color w:val="000000"/>
          <w:sz w:val="22"/>
        </w:rPr>
        <w:t xml:space="preserve">shall mean Indebtedness incurred by the Borrower or any Subsidiary of Holdings which (a) has no scheduled amortization, (b) has no optional or mandatory repayment, repurchase, redemption or similar provisions that may be effected at any time when the Obligations or any extension, refinancing, replacement or repurchase thereof, in whole or in part, is outstanding, (c) has no guarantees or other credit support from any Person other than a Loan Party, (d) has no financial maintenance covenants, (e) has no covenants, events of default or similar provisions that are more restrictive in any material respect than those contained in the Loan Documents and (f) is subordinated in right of payment to the Obligations on terms reasonably acceptable to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Indebtedness is secured (i) the Liens securing such Indebtedness shall be junior to the Liens securing the Obligations, (ii) the security agreements governing such Indebtedness shall provide for junior Liens on terms reasonably acceptable to the Administrative Agent and (iii) a Senior Representative acting behalf of the holders of such Indebtedness shall have become party to a Second Lien Intercreditor Agreement.</w:t>
      </w:r>
    </w:p>
    <w:p>
      <w:pPr>
        <w:pStyle w:val="TextBody"/>
        <w:bidi w:val="0"/>
        <w:spacing w:before="240" w:after="283"/>
        <w:jc w:val="both"/>
        <w:rPr/>
      </w:pPr>
      <w:bookmarkStart w:id="261" w:name="xpermitted_tax_distributions__shall_mean"/>
      <w:bookmarkEnd w:id="261"/>
      <w:r>
        <w:rPr>
          <w:color w:val="000000"/>
        </w:rPr>
        <w:t>“</w:t>
      </w:r>
      <w:r>
        <w:rPr>
          <w:rFonts w:ascii="Times New Roman" w:hAnsi="Times New Roman"/>
          <w:color w:val="000000"/>
          <w:sz w:val="22"/>
          <w:u w:val="single"/>
        </w:rPr>
        <w:t>Permitted Tax Distributions</w:t>
      </w:r>
      <w:r>
        <w:rPr>
          <w:rFonts w:ascii="Times New Roman" w:hAnsi="Times New Roman"/>
          <w:color w:val="000000"/>
          <w:sz w:val="20"/>
        </w:rPr>
        <w:t xml:space="preserve">” </w:t>
      </w:r>
      <w:r>
        <w:rPr>
          <w:rFonts w:ascii="Times New Roman" w:hAnsi="Times New Roman"/>
          <w:color w:val="000000"/>
          <w:sz w:val="22"/>
        </w:rPr>
        <w:t>shall mean tax distributions as required by Section 5.2 of Holdings’ operating agreement as in effect on the Closing Date.</w:t>
      </w:r>
    </w:p>
    <w:p>
      <w:pPr>
        <w:pStyle w:val="TextBody"/>
        <w:bidi w:val="0"/>
        <w:spacing w:before="240" w:after="283"/>
        <w:jc w:val="both"/>
        <w:rPr/>
      </w:pPr>
      <w:bookmarkStart w:id="262" w:name="xpermitted_unsecured_refinancing_debt__s"/>
      <w:bookmarkEnd w:id="262"/>
      <w:r>
        <w:rPr>
          <w:color w:val="000000"/>
        </w:rPr>
        <w:t>“</w:t>
      </w:r>
      <w:r>
        <w:rPr>
          <w:rFonts w:ascii="Times New Roman" w:hAnsi="Times New Roman"/>
          <w:color w:val="000000"/>
          <w:sz w:val="22"/>
          <w:u w:val="single"/>
        </w:rPr>
        <w:t>Permitted Unsecured Refinancing Debt</w:t>
      </w:r>
      <w:r>
        <w:rPr>
          <w:rFonts w:ascii="Times New Roman" w:hAnsi="Times New Roman"/>
          <w:color w:val="000000"/>
          <w:sz w:val="20"/>
        </w:rPr>
        <w:t xml:space="preserve">” </w:t>
      </w:r>
      <w:r>
        <w:rPr>
          <w:rFonts w:ascii="Times New Roman" w:hAnsi="Times New Roman"/>
          <w:color w:val="000000"/>
          <w:sz w:val="22"/>
        </w:rPr>
        <w:t xml:space="preserve">shall mean unsecured Indebtedness incurred by the Borrower or any other Loan Party in the form of one or more series of senior unsecured notes or loans; </w:t>
      </w:r>
      <w:r>
        <w:rPr>
          <w:rFonts w:ascii="Times New Roman" w:hAnsi="Times New Roman"/>
          <w:color w:val="000000"/>
          <w:sz w:val="22"/>
          <w:u w:val="single"/>
        </w:rPr>
        <w:t>provided</w:t>
      </w:r>
      <w:r>
        <w:rPr>
          <w:rFonts w:ascii="Times New Roman" w:hAnsi="Times New Roman"/>
          <w:color w:val="000000"/>
          <w:sz w:val="22"/>
        </w:rPr>
        <w:t>, that such Indebtedness constitutes Credit Agreement Refinancing Indebtedness.</w:t>
      </w:r>
    </w:p>
    <w:p>
      <w:pPr>
        <w:pStyle w:val="TextBody"/>
        <w:bidi w:val="0"/>
        <w:spacing w:before="240" w:after="283"/>
        <w:jc w:val="both"/>
        <w:rPr/>
      </w:pPr>
      <w:bookmarkStart w:id="263" w:name="xperson__shall_mean_any_individual__part"/>
      <w:bookmarkEnd w:id="263"/>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shall mean any individual, partnership, firm, corporation, association, joint venture, limited liability company, trust or other entity, or any Governmental Authority.</w:t>
      </w:r>
    </w:p>
    <w:p>
      <w:pPr>
        <w:pStyle w:val="TextBody"/>
        <w:bidi w:val="0"/>
        <w:spacing w:before="240" w:after="283"/>
        <w:jc w:val="both"/>
        <w:rPr/>
      </w:pPr>
      <w:bookmarkStart w:id="264" w:name="xpersonal_information__shall_mean_all_in"/>
      <w:bookmarkEnd w:id="264"/>
      <w:r>
        <w:rPr>
          <w:color w:val="000000"/>
        </w:rPr>
        <w:t>“</w:t>
      </w:r>
      <w:r>
        <w:rPr>
          <w:rFonts w:ascii="Times New Roman" w:hAnsi="Times New Roman"/>
          <w:color w:val="000000"/>
          <w:sz w:val="22"/>
          <w:u w:val="single"/>
        </w:rPr>
        <w:t>Personal Information</w:t>
      </w:r>
      <w:r>
        <w:rPr>
          <w:rFonts w:ascii="Times New Roman" w:hAnsi="Times New Roman"/>
          <w:color w:val="000000"/>
          <w:sz w:val="20"/>
        </w:rPr>
        <w:t xml:space="preserve">” </w:t>
      </w:r>
      <w:r>
        <w:rPr>
          <w:rFonts w:ascii="Times New Roman" w:hAnsi="Times New Roman"/>
          <w:color w:val="000000"/>
          <w:sz w:val="22"/>
        </w:rPr>
        <w:t>shall mean all information defined or described by Holdings, the Borrower or any of their respective Subsidiaries as “personal data”, “personal information”, “personally identifiable information”, “protected health information,” “PHI,” “PII,” or any similar term in any of the privacy policies or other public-facing statement of Holdings, the Borrower or any of their respective Subsidiaries, any information that is subject to any Privacy Laws or regarding or capable of being associated with an individual consumer or device, including information that identifies, or could reasonably be used to identify (alone or in combination with other information) or is otherwise identifiable with a device or natural person, including name, physical address, telephone number, email address, financial account number, government-issued identifier (including Social Security number and driver’s license number), medical, health or insurance information, gender, date of birth, educational or employment information, any religious or political view or affiliation, marital or other status, photograph, face geometry or biometric information, and any other data used or intended to be used to identify, contact or precisely locate an individual. Personal Information may relate to any individual, including any user of any Internet or device application who views or interacts with any website or platforms, or a current, prospective or former customer, employee or vendor of any Person. Personal Information includes information in any form, including paper, electronic and other forms.</w:t>
      </w:r>
    </w:p>
    <w:p>
      <w:pPr>
        <w:pStyle w:val="TextBody"/>
        <w:bidi w:val="0"/>
        <w:spacing w:before="240" w:after="283"/>
        <w:jc w:val="both"/>
        <w:rPr/>
      </w:pPr>
      <w:bookmarkStart w:id="265" w:name="xplan__shall_mean_any__employee_pension_"/>
      <w:bookmarkEnd w:id="265"/>
      <w:r>
        <w:rPr>
          <w:color w:val="000000"/>
        </w:rPr>
        <w:t>“</w:t>
      </w:r>
      <w:r>
        <w:rPr>
          <w:rFonts w:ascii="Times New Roman" w:hAnsi="Times New Roman"/>
          <w:color w:val="000000"/>
          <w:sz w:val="22"/>
          <w:u w:val="single"/>
        </w:rPr>
        <w:t>Plan</w:t>
      </w:r>
      <w:r>
        <w:rPr>
          <w:rFonts w:ascii="Times New Roman" w:hAnsi="Times New Roman"/>
          <w:color w:val="000000"/>
          <w:sz w:val="20"/>
        </w:rPr>
        <w:t xml:space="preserve">” </w:t>
      </w:r>
      <w:r>
        <w:rPr>
          <w:rFonts w:ascii="Times New Roman" w:hAnsi="Times New Roman"/>
          <w:color w:val="000000"/>
          <w:sz w:val="22"/>
        </w:rPr>
        <w:t>shall mean any “employee pension benefit plan” as defined in Section 3 of ERISA (other than a Multiemployer Plan) maintained or contributed to by the Borrower or any ERISA Affiliate or to which the Borrower or any ERISA Affiliate has or may have an obligation to contribute, and each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plan that is subject to Title IV of ERISA for the five-year period immediately following the latest date on which the Borrower or any ERISA Affiliate maintained, contributed to or had an obligation to contribute to (or is deemed under Section 4069 of ERISA to have maintained or contributed to or to have had an obligation to contribute to, or otherwise to have liability with respect to) such plan.</w:t>
      </w:r>
    </w:p>
    <w:p>
      <w:pPr>
        <w:pStyle w:val="TextBody"/>
        <w:bidi w:val="0"/>
        <w:spacing w:before="240" w:after="283"/>
        <w:jc w:val="both"/>
        <w:rPr/>
      </w:pPr>
      <w:bookmarkStart w:id="266" w:name="xplatform__shall_mean_debt_domain__intra"/>
      <w:bookmarkEnd w:id="266"/>
      <w:r>
        <w:rPr>
          <w:color w:val="000000"/>
        </w:rPr>
        <w:t>“</w:t>
      </w:r>
      <w:r>
        <w:rPr>
          <w:rFonts w:ascii="Times New Roman" w:hAnsi="Times New Roman"/>
          <w:color w:val="000000"/>
          <w:sz w:val="22"/>
          <w:u w:val="single"/>
        </w:rPr>
        <w:t>Platform</w:t>
      </w:r>
      <w:r>
        <w:rPr>
          <w:rFonts w:ascii="Times New Roman" w:hAnsi="Times New Roman"/>
          <w:color w:val="000000"/>
          <w:sz w:val="20"/>
        </w:rPr>
        <w:t xml:space="preserve">” </w:t>
      </w:r>
      <w:r>
        <w:rPr>
          <w:rFonts w:ascii="Times New Roman" w:hAnsi="Times New Roman"/>
          <w:color w:val="000000"/>
          <w:sz w:val="22"/>
        </w:rPr>
        <w:t>shall mean Debt Domain, Intralinks, Syndtrak or a substantially similar electronic transmission system.</w:t>
      </w:r>
    </w:p>
    <w:p>
      <w:pPr>
        <w:pStyle w:val="TextBody"/>
        <w:bidi w:val="0"/>
        <w:spacing w:before="240" w:after="283"/>
        <w:jc w:val="both"/>
        <w:rPr/>
      </w:pPr>
      <w:bookmarkStart w:id="267" w:name="xprepayment_event__shall_mean_"/>
      <w:bookmarkEnd w:id="267"/>
      <w:r>
        <w:rPr>
          <w:color w:val="000000"/>
        </w:rPr>
        <w:t>“</w:t>
      </w:r>
      <w:r>
        <w:rPr>
          <w:rFonts w:ascii="Times New Roman" w:hAnsi="Times New Roman"/>
          <w:color w:val="000000"/>
          <w:sz w:val="22"/>
          <w:u w:val="single"/>
        </w:rPr>
        <w:t>Prepayment Event</w:t>
      </w:r>
      <w:r>
        <w:rPr>
          <w:rFonts w:ascii="Times New Roman" w:hAnsi="Times New Roman"/>
          <w:color w:val="000000"/>
          <w:sz w:val="20"/>
        </w:rPr>
        <w:t xml:space="preserve">” </w:t>
      </w:r>
      <w:r>
        <w:rPr>
          <w:rFonts w:ascii="Times New Roman" w:hAnsi="Times New Roman"/>
          <w:color w:val="000000"/>
          <w:sz w:val="22"/>
        </w:rPr>
        <w:t>shall mean: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Asset Sale (other than an Asset Sale permitted under </w:t>
      </w:r>
      <w:r>
        <w:rPr>
          <w:rFonts w:ascii="Times New Roman" w:hAnsi="Times New Roman"/>
          <w:color w:val="000000"/>
          <w:sz w:val="22"/>
          <w:u w:val="single"/>
        </w:rPr>
        <w:t>Section 7.6</w:t>
      </w:r>
      <w:r>
        <w:rPr>
          <w:color w:val="000000"/>
        </w:rPr>
        <w:t xml:space="preserve"> </w:t>
      </w:r>
      <w:r>
        <w:rPr>
          <w:rFonts w:ascii="Times New Roman" w:hAnsi="Times New Roman"/>
          <w:color w:val="000000"/>
          <w:sz w:val="22"/>
        </w:rPr>
        <w:t xml:space="preserve">(other than </w:t>
      </w:r>
      <w:r>
        <w:rPr>
          <w:rFonts w:ascii="Times New Roman" w:hAnsi="Times New Roman"/>
          <w:color w:val="000000"/>
          <w:sz w:val="22"/>
          <w:u w:val="single"/>
        </w:rPr>
        <w:t>Section 7.6(c)</w:t>
      </w:r>
      <w:r>
        <w:rPr>
          <w:rFonts w:ascii="Times New Roman" w:hAnsi="Times New Roman"/>
          <w:color w:val="000000"/>
          <w:sz w:val="22"/>
        </w:rPr>
        <w:t>)) of Holdings or any of its Subsidiaries resulting in Net Cash Proceeds in excess of $5,000,000 in the aggregate for all such Asset Sales in any calendar year;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Recovery Event resulting in aggregate Net Cash Proceeds in excess of $1,000,000 in the aggregate for all such Recovery Events in any calendar year;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incurrence by Holdings or any of its Subsidiaries of any Indebtedness, other than Indebtedness permitted under </w:t>
      </w:r>
      <w:r>
        <w:rPr>
          <w:rFonts w:ascii="Times New Roman" w:hAnsi="Times New Roman"/>
          <w:color w:val="000000"/>
          <w:sz w:val="22"/>
          <w:u w:val="single"/>
        </w:rPr>
        <w:t>Section 7.1</w:t>
      </w:r>
      <w:r>
        <w:rPr>
          <w:color w:val="000000"/>
        </w:rPr>
        <w:t xml:space="preserve"> </w:t>
      </w:r>
      <w:r>
        <w:rPr>
          <w:rFonts w:ascii="Times New Roman" w:hAnsi="Times New Roman"/>
          <w:color w:val="000000"/>
          <w:sz w:val="22"/>
        </w:rPr>
        <w:t xml:space="preserve">(except for Credit Agreement Refinancing Indebtedness, Permitted Unsecured Refinancing Debt, Permitted Senior Refinancing Debt, Permitted Junior Refinancing Debt and Other Loans) or permitted by the Required Lenders pursuant to </w:t>
      </w:r>
      <w:r>
        <w:rPr>
          <w:rFonts w:ascii="Times New Roman" w:hAnsi="Times New Roman"/>
          <w:color w:val="000000"/>
          <w:sz w:val="22"/>
          <w:u w:val="single"/>
        </w:rPr>
        <w:t>Section 11.2</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268" w:name="xprivacy_laws__shall_mean_all_applicable"/>
      <w:bookmarkEnd w:id="268"/>
      <w:r>
        <w:rPr>
          <w:color w:val="000000"/>
        </w:rPr>
        <w:t>“</w:t>
      </w:r>
      <w:r>
        <w:rPr>
          <w:rFonts w:ascii="Times New Roman" w:hAnsi="Times New Roman"/>
          <w:color w:val="000000"/>
          <w:sz w:val="22"/>
          <w:u w:val="single"/>
        </w:rPr>
        <w:t>Privacy Laws</w:t>
      </w:r>
      <w:r>
        <w:rPr>
          <w:rFonts w:ascii="Times New Roman" w:hAnsi="Times New Roman"/>
          <w:color w:val="000000"/>
          <w:sz w:val="20"/>
        </w:rPr>
        <w:t xml:space="preserve">” </w:t>
      </w:r>
      <w:r>
        <w:rPr>
          <w:rFonts w:ascii="Times New Roman" w:hAnsi="Times New Roman"/>
          <w:color w:val="000000"/>
          <w:sz w:val="22"/>
        </w:rPr>
        <w:t>shall mean all applicable international, federal and state laws, statutes, directives, rules, regulations, and legally binding guidance, related to the use, disclosure, privacy and security of Personal Information, including HIPAA.</w:t>
      </w:r>
    </w:p>
    <w:p>
      <w:pPr>
        <w:pStyle w:val="TextBody"/>
        <w:bidi w:val="0"/>
        <w:spacing w:before="240" w:after="283"/>
        <w:jc w:val="both"/>
        <w:rPr/>
      </w:pPr>
      <w:bookmarkStart w:id="269" w:name="xproduct__shall_mean_any_current_or_futu"/>
      <w:bookmarkEnd w:id="269"/>
      <w:r>
        <w:rPr>
          <w:color w:val="000000"/>
        </w:rPr>
        <w:t>“</w:t>
      </w:r>
      <w:r>
        <w:rPr>
          <w:rFonts w:ascii="Times New Roman" w:hAnsi="Times New Roman"/>
          <w:color w:val="000000"/>
          <w:sz w:val="22"/>
          <w:u w:val="single"/>
        </w:rPr>
        <w:t>Product</w:t>
      </w:r>
      <w:r>
        <w:rPr>
          <w:rFonts w:ascii="Times New Roman" w:hAnsi="Times New Roman"/>
          <w:color w:val="000000"/>
          <w:sz w:val="20"/>
        </w:rPr>
        <w:t xml:space="preserve">” </w:t>
      </w:r>
      <w:r>
        <w:rPr>
          <w:rFonts w:ascii="Times New Roman" w:hAnsi="Times New Roman"/>
          <w:color w:val="000000"/>
          <w:sz w:val="22"/>
        </w:rPr>
        <w:t>shall mean any current or future service or product researched, designed, developed, manufactured, licensed, marketed, advertised, sold, offered for sale, performed, distributed, tested, provided, or commercialized by Holdings or any of its Subsidiaries, including any such product in development or that may be developed in the future.</w:t>
      </w:r>
    </w:p>
    <w:p>
      <w:pPr>
        <w:pStyle w:val="TextBody"/>
        <w:bidi w:val="0"/>
        <w:spacing w:before="240" w:after="283"/>
        <w:jc w:val="both"/>
        <w:rPr/>
      </w:pPr>
      <w:bookmarkStart w:id="270" w:name="xpro_forma_basis__shall_mean__for_purpos"/>
      <w:bookmarkEnd w:id="270"/>
      <w:r>
        <w:rPr>
          <w:color w:val="000000"/>
        </w:rPr>
        <w:t>“</w:t>
      </w:r>
      <w:r>
        <w:rPr>
          <w:rFonts w:ascii="Times New Roman" w:hAnsi="Times New Roman"/>
          <w:color w:val="000000"/>
          <w:sz w:val="22"/>
          <w:u w:val="single"/>
        </w:rPr>
        <w:t>Pro Forma Basis</w:t>
      </w:r>
      <w:r>
        <w:rPr>
          <w:rFonts w:ascii="Times New Roman" w:hAnsi="Times New Roman"/>
          <w:color w:val="000000"/>
          <w:sz w:val="20"/>
        </w:rPr>
        <w:t xml:space="preserve">” </w:t>
      </w:r>
      <w:r>
        <w:rPr>
          <w:rFonts w:ascii="Times New Roman" w:hAnsi="Times New Roman"/>
          <w:color w:val="000000"/>
          <w:sz w:val="22"/>
        </w:rPr>
        <w:t xml:space="preserve">shall mean, for purposes of calculating compliance with respect to any Asset Sale, Recovery Event, Permitted Acquisition, Restricted Payment, increase in the Aggregate Revolving Commitments or incurrence of an Incremental Term Loan pursuant to </w:t>
      </w:r>
      <w:r>
        <w:rPr>
          <w:rFonts w:ascii="Times New Roman" w:hAnsi="Times New Roman"/>
          <w:color w:val="000000"/>
          <w:sz w:val="22"/>
          <w:u w:val="single"/>
        </w:rPr>
        <w:t>Section 2.23</w:t>
      </w:r>
      <w:r>
        <w:rPr>
          <w:rFonts w:ascii="Times New Roman" w:hAnsi="Times New Roman"/>
          <w:color w:val="000000"/>
          <w:sz w:val="20"/>
        </w:rPr>
        <w:t xml:space="preserve"> </w:t>
      </w:r>
      <w:r>
        <w:rPr>
          <w:rFonts w:ascii="Times New Roman" w:hAnsi="Times New Roman"/>
          <w:color w:val="000000"/>
          <w:sz w:val="22"/>
        </w:rPr>
        <w:t xml:space="preserve">or incurrence of Indebtedness, or any other transaction subject to calculation on a “Pro Forma Basis” as indicated herein, that such transaction shall be deemed to have occurred as of the first day of the period of four Fiscal Quarters most recently ended for which the Borrower has delivered financial statements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 xml:space="preserve">. For purposes of any such calculation in respect of any Permitted Acquisition, (a) income statement and cash flow statement items attributable to the Person or property subject to such Permitted Acquisition shall be included in Consolidated EBITDA to the extent such items are included in such income statement and cash flow statement items of Holdings and its Subsidiaries in accordance with the definition of “Consolidated EBITDA” set forth in </w:t>
      </w:r>
      <w:r>
        <w:rPr>
          <w:rFonts w:ascii="Times New Roman" w:hAnsi="Times New Roman"/>
          <w:color w:val="000000"/>
          <w:sz w:val="22"/>
          <w:u w:val="single"/>
        </w:rPr>
        <w:t>Section 1.1</w:t>
      </w:r>
      <w:r>
        <w:rPr>
          <w:rFonts w:ascii="Times New Roman" w:hAnsi="Times New Roman"/>
          <w:color w:val="000000"/>
          <w:sz w:val="22"/>
        </w:rPr>
        <w:t>; (b) any Indebtedness incurred or assumed by the Borrower or any Subsidiary of Holdings (including the Person or property acquired) in connection with such transaction and any Indebtedness of the Person or property acquired which is not retired in connection with such transaction (i) shall be deemed to have been incurred as of the first day of the applicable period and (ii)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and (c) Capital Expenditures attributable to the Person or property acquired shall be included beginning as of the first day of the applicable period.</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71" w:name="xpro_forma_compliance_certificate__shall"/>
      <w:bookmarkEnd w:id="271"/>
      <w:r>
        <w:rPr>
          <w:color w:val="000000"/>
        </w:rPr>
        <w:t>“</w:t>
      </w:r>
      <w:r>
        <w:rPr>
          <w:rFonts w:ascii="Times New Roman" w:hAnsi="Times New Roman"/>
          <w:color w:val="000000"/>
          <w:sz w:val="22"/>
          <w:u w:val="single"/>
        </w:rPr>
        <w:t>Pro Forma Compliance Certificate</w:t>
      </w:r>
      <w:r>
        <w:rPr>
          <w:rFonts w:ascii="Times New Roman" w:hAnsi="Times New Roman"/>
          <w:color w:val="000000"/>
          <w:sz w:val="20"/>
        </w:rPr>
        <w:t xml:space="preserve">” </w:t>
      </w:r>
      <w:r>
        <w:rPr>
          <w:rFonts w:ascii="Times New Roman" w:hAnsi="Times New Roman"/>
          <w:color w:val="000000"/>
          <w:sz w:val="22"/>
        </w:rPr>
        <w:t xml:space="preserve">shall mean a certificate of a Responsible Officer of the Borrower containing (a) reasonably detailed calculations of the financial covenants set forth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recomputed as of the end of the period of the four Fiscal Quarters most recently ended for which the Borrower has delivered financial statements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0"/>
        </w:rPr>
        <w:t xml:space="preserve"> </w:t>
      </w:r>
      <w:r>
        <w:rPr>
          <w:rFonts w:ascii="Times New Roman" w:hAnsi="Times New Roman"/>
          <w:color w:val="000000"/>
          <w:sz w:val="22"/>
        </w:rPr>
        <w:t xml:space="preserve">after giving effect to the applicable transaction on a Pro Forma Basis and (b) if delivered in connection with any Permitted Acquisition, certifications that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(h)</w:t>
      </w:r>
      <w:r>
        <w:rPr>
          <w:rFonts w:ascii="Times New Roman" w:hAnsi="Times New Roman"/>
          <w:color w:val="000000"/>
          <w:sz w:val="20"/>
        </w:rPr>
        <w:t xml:space="preserve"> </w:t>
      </w:r>
      <w:r>
        <w:rPr>
          <w:rFonts w:ascii="Times New Roman" w:hAnsi="Times New Roman"/>
          <w:color w:val="000000"/>
          <w:sz w:val="22"/>
        </w:rPr>
        <w:t>of the definition of “Permitted Acquisition” have been satisfied (or will be satisfied in the time permitted under this Agreement).</w:t>
      </w:r>
    </w:p>
    <w:p>
      <w:pPr>
        <w:pStyle w:val="TextBody"/>
        <w:bidi w:val="0"/>
        <w:spacing w:before="240" w:after="283"/>
        <w:jc w:val="both"/>
        <w:rPr/>
      </w:pPr>
      <w:bookmarkStart w:id="272" w:name="xpro_rata_share__shall_mean__i__with_res"/>
      <w:bookmarkEnd w:id="272"/>
      <w:r>
        <w:rPr>
          <w:color w:val="000000"/>
        </w:rPr>
        <w:t>“</w:t>
      </w:r>
      <w:r>
        <w:rPr>
          <w:rFonts w:ascii="Times New Roman" w:hAnsi="Times New Roman"/>
          <w:color w:val="000000"/>
          <w:sz w:val="22"/>
          <w:u w:val="single"/>
        </w:rPr>
        <w:t>Pro Rata Share</w:t>
      </w:r>
      <w:r>
        <w:rPr>
          <w:rFonts w:ascii="Times New Roman" w:hAnsi="Times New Roman"/>
          <w:color w:val="000000"/>
          <w:sz w:val="20"/>
        </w:rPr>
        <w:t xml:space="preserve">” </w:t>
      </w:r>
      <w:r>
        <w:rPr>
          <w:rFonts w:ascii="Times New Roman" w:hAnsi="Times New Roman"/>
          <w:color w:val="000000"/>
          <w:sz w:val="22"/>
        </w:rPr>
        <w:t>shall mean (i) with respect to any Class of Commitment or Loan of any Lender at any time, a percentage, the numerator of which shall be such Lender’s Commitment of such Class (or if such Commitment has been terminated or expired or the Loans have been declared to be due and payable, such Lender’s Revolving Credit Exposure or Term Loan, as applicable), and the denominator of which shall be the sum of all Commitments of such Class of all Lenders (or if such Commitments have been terminated or expired or the Loans have been declared to be due and payable, all Revolving Credit Exposure or Term Loans, as applicable, of all Lenders) and (ii) with respect to all Classes of Commitments and Loans of any Lender at any time, the numerator of which shall be the sum of such Lender’s Revolving Commitment (or if such Revolving Commitment has been terminated or expired or the Loans have been declared to be due and payable, such Lender’s Revolving Credit Exposure) and Term Loan and the denominator of which shall be the sum of all Lenders’ Revolving Commitments (or if such Revolving Commitments have been terminated or expired or the Loans have been declared to be due and payable, all Revolving Credit Exposure of all Lenders funded under such Commitments) and Term Loans.</w:t>
      </w:r>
    </w:p>
    <w:p>
      <w:pPr>
        <w:pStyle w:val="TextBody"/>
        <w:bidi w:val="0"/>
        <w:spacing w:before="240" w:after="283"/>
        <w:jc w:val="both"/>
        <w:rPr/>
      </w:pPr>
      <w:bookmarkStart w:id="273" w:name="xpte__shall_mean_a_prohibited_transactio"/>
      <w:bookmarkEnd w:id="273"/>
      <w:r>
        <w:rPr>
          <w:color w:val="000000"/>
        </w:rPr>
        <w:t>“</w:t>
      </w:r>
      <w:r>
        <w:rPr>
          <w:rFonts w:ascii="Times New Roman" w:hAnsi="Times New Roman"/>
          <w:color w:val="000000"/>
          <w:sz w:val="22"/>
          <w:u w:val="single"/>
        </w:rPr>
        <w:t>PTE</w:t>
      </w:r>
      <w:r>
        <w:rPr>
          <w:rFonts w:ascii="Times New Roman" w:hAnsi="Times New Roman"/>
          <w:color w:val="000000"/>
          <w:sz w:val="20"/>
        </w:rPr>
        <w:t xml:space="preserve">” </w:t>
      </w:r>
      <w:r>
        <w:rPr>
          <w:rFonts w:ascii="Times New Roman" w:hAnsi="Times New Roman"/>
          <w:color w:val="000000"/>
          <w:sz w:val="22"/>
        </w:rPr>
        <w:t>shall mean a prohibited transaction class exemption issued by the U.S. Department of Labor, as any such exemption may be amended from time to time.</w:t>
      </w:r>
    </w:p>
    <w:p>
      <w:pPr>
        <w:pStyle w:val="TextBody"/>
        <w:bidi w:val="0"/>
        <w:spacing w:before="240" w:after="283"/>
        <w:jc w:val="both"/>
        <w:rPr/>
      </w:pPr>
      <w:bookmarkStart w:id="274" w:name="xqfc__shall_have_the_meaning_assigned_to"/>
      <w:bookmarkEnd w:id="274"/>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shall have the meaning assigned to the term “qualified financial contract” in, and shall be interpreted in accordance with, 12 U.S.C. 5390(c)(8)(D).</w:t>
      </w:r>
    </w:p>
    <w:p>
      <w:pPr>
        <w:pStyle w:val="TextBody"/>
        <w:bidi w:val="0"/>
        <w:spacing w:before="240" w:after="283"/>
        <w:jc w:val="both"/>
        <w:rPr/>
      </w:pPr>
      <w:bookmarkStart w:id="275" w:name="xqualified_ecp_guarantor__shall_mean__in"/>
      <w:bookmarkEnd w:id="275"/>
      <w:r>
        <w:rPr>
          <w:color w:val="000000"/>
        </w:rPr>
        <w:t>“</w:t>
      </w:r>
      <w:r>
        <w:rPr>
          <w:rFonts w:ascii="Times New Roman" w:hAnsi="Times New Roman"/>
          <w:color w:val="000000"/>
          <w:sz w:val="22"/>
          <w:u w:val="single"/>
        </w:rPr>
        <w:t>Qualified ECP Guarantor</w:t>
      </w:r>
      <w:r>
        <w:rPr>
          <w:rFonts w:ascii="Times New Roman" w:hAnsi="Times New Roman"/>
          <w:color w:val="000000"/>
          <w:sz w:val="20"/>
        </w:rPr>
        <w:t xml:space="preserve">” </w:t>
      </w:r>
      <w:r>
        <w:rPr>
          <w:rFonts w:ascii="Times New Roman" w:hAnsi="Times New Roman"/>
          <w:color w:val="000000"/>
          <w:sz w:val="22"/>
        </w:rPr>
        <w:t>shall mean,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240" w:after="283"/>
        <w:jc w:val="both"/>
        <w:rPr/>
      </w:pPr>
      <w:bookmarkStart w:id="276" w:name="xreal_property_security_documents__shall"/>
      <w:bookmarkEnd w:id="276"/>
      <w:r>
        <w:rPr>
          <w:color w:val="000000"/>
        </w:rPr>
        <w:t>“</w:t>
      </w:r>
      <w:r>
        <w:rPr>
          <w:rFonts w:ascii="Times New Roman" w:hAnsi="Times New Roman"/>
          <w:color w:val="000000"/>
          <w:sz w:val="22"/>
          <w:u w:val="single"/>
        </w:rPr>
        <w:t>Real Property Security Documents</w:t>
      </w:r>
      <w:r>
        <w:rPr>
          <w:rFonts w:ascii="Times New Roman" w:hAnsi="Times New Roman"/>
          <w:color w:val="000000"/>
          <w:sz w:val="20"/>
        </w:rPr>
        <w:t xml:space="preserve">” </w:t>
      </w:r>
      <w:r>
        <w:rPr>
          <w:rFonts w:ascii="Times New Roman" w:hAnsi="Times New Roman"/>
          <w:color w:val="000000"/>
          <w:sz w:val="22"/>
        </w:rPr>
        <w:t>shall mean, with respect to any fee interest of a Loan Party any Material Real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fully executed and notarized Mortgage encumbering the fee interest of such Loan Party in such real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requested by the Administrative Agent in its reasonable discretion, maps or plats of an as built survey of the sites of such real property certified to the Administrative Agent and the title insurance company issuing the policies referred to in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of this definition in a manner satisfactory to each of the Administrative Agent and such title insurance company, dated a date reasonably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National Society of Professional Surveyors, Inc. in 2016 with items 2, 3, 4, 6(b), 7(a), 7(b)(1), 7(c), 8, 9, 10, 11, 13, 14, 16, 17, 18 and 19 on Table A thereof completed;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ALTA mortgagee title insurance policies issued by a title insurance company reasonably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Encumbrances, which title insurance policies shall otherwise be in form and substance satisfactory to the Administrative Agent and shall include such endorsements as are requested by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evidence as to (i) whether such real property is in an area designated by the Federal Emergency Management Agency as having special flood or mud slide hazards (a “</w:t>
      </w:r>
      <w:r>
        <w:rPr>
          <w:rFonts w:ascii="Times New Roman" w:hAnsi="Times New Roman"/>
          <w:color w:val="000000"/>
          <w:sz w:val="22"/>
          <w:u w:val="single"/>
        </w:rPr>
        <w:t>Flood</w:t>
      </w:r>
      <w:r>
        <w:rPr>
          <w:color w:val="000000"/>
        </w:rPr>
        <w:t xml:space="preserve"> </w:t>
      </w:r>
      <w:r>
        <w:rPr>
          <w:rFonts w:ascii="Times New Roman" w:hAnsi="Times New Roman"/>
          <w:color w:val="000000"/>
          <w:sz w:val="22"/>
          <w:u w:val="single"/>
        </w:rPr>
        <w:t>Hazard Property</w:t>
      </w:r>
      <w:r>
        <w:rPr>
          <w:color w:val="000000"/>
        </w:rPr>
        <w:t>”</w:t>
      </w:r>
      <w:r>
        <w:rPr>
          <w:rFonts w:ascii="Times New Roman" w:hAnsi="Times New Roman"/>
          <w:color w:val="000000"/>
          <w:sz w:val="22"/>
        </w:rPr>
        <w:t>) and (ii) if such real property is a Flood Hazard Property, (A) whether the community in which such real property is located is participating in the National Flood Insurance Program, (B) the applicable Loan Party’s written acknowledgment of receipt of written notification from the Administrative Agent (1) as to the fact that such real property is a Flood Hazard Property and (2) as to whether the community in which each such Flood Hazard Property is located is participating in the National Flood Insurance Program and (C) copies of flood insurance policies under the National Flood Insurance Program (or private insurance endorsed to cause such private insurance to be fully compliant with the federal law as regards private placement insurance applicable to the National Flood Insurance Program, with financially sound and reputable insurance companies not Affiliates of the Borrower) or certificates of insurance of Holdings and its Subsidiaries evidencing such flood insurance coverage in such amounts and with such deductibles as the Administrative Agent may request and naming the Administrative Agent and its successors and/or assigns as sole loss payee on behalf of the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requested by the Administrative Agent, a duly executed Environmental Indemnity with respect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requested by the Administrative Agent, (i) environmental questionnaires or (ii) Phase I Environmental Site Assessment Reports, consistent with American Society of Testing and Materials (ASTM) Standard E 1527-05, and applicable state requirements, on all of the owned real property, dated no more than six (6) months prior to the Closing Date (or date of the applicable Mortgage if provided post-closing), prepared by environmental engineers satisfactory to the Administrative Agent, all in form and substance satisfactory to the Administrative Agent, and such environmental review and audit reports, including Phase II reports, with respect to the real property of any Loan Party as the Administrative Agent shall have requested, in each case together with letters executed by the environmental firms preparing such environmental reports, in form and substance satisfactory to the Administrative Agent, authorizing the Administrative Agent and the Lenders to rely on such reports, and the Administrative Agent shall be satisfied with the contents of all such environmental questionnaires or reports;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requested by the Administrative Agent, evidence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opinion of legal counsel to the Loan Party granting the Mortgage on such real property, addressed to the Administrative Agent and each Lender, in form and substance reasonably acceptable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277" w:name="xrecipient__shall_mean__a__the_administr"/>
      <w:bookmarkEnd w:id="277"/>
      <w:r>
        <w:rPr>
          <w:color w:val="000000"/>
        </w:rPr>
        <w:t>“</w:t>
      </w:r>
      <w:r>
        <w:rPr>
          <w:rFonts w:ascii="Times New Roman" w:hAnsi="Times New Roman"/>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shall mean (a) the Administrative Agent, (b) any Lender and (c) the Issuing Bank as applicable.</w:t>
      </w:r>
    </w:p>
    <w:p>
      <w:pPr>
        <w:pStyle w:val="TextBody"/>
        <w:bidi w:val="0"/>
        <w:spacing w:before="240" w:after="283"/>
        <w:jc w:val="both"/>
        <w:rPr/>
      </w:pPr>
      <w:bookmarkStart w:id="278" w:name="xrecovery_event__shall_mean_any_loss_of_"/>
      <w:bookmarkEnd w:id="278"/>
      <w:r>
        <w:rPr>
          <w:color w:val="000000"/>
        </w:rPr>
        <w:t>“</w:t>
      </w:r>
      <w:r>
        <w:rPr>
          <w:rFonts w:ascii="Times New Roman" w:hAnsi="Times New Roman"/>
          <w:color w:val="000000"/>
          <w:sz w:val="22"/>
          <w:u w:val="single"/>
        </w:rPr>
        <w:t>Recovery Event</w:t>
      </w:r>
      <w:r>
        <w:rPr>
          <w:rFonts w:ascii="Times New Roman" w:hAnsi="Times New Roman"/>
          <w:color w:val="000000"/>
          <w:sz w:val="20"/>
        </w:rPr>
        <w:t xml:space="preserve">” </w:t>
      </w:r>
      <w:r>
        <w:rPr>
          <w:rFonts w:ascii="Times New Roman" w:hAnsi="Times New Roman"/>
          <w:color w:val="000000"/>
          <w:sz w:val="22"/>
        </w:rPr>
        <w:t>shall mean any loss of, damage to or destruction of, or any condemnation or other taking for public use of, any property of Holdings, the Borrower or any of their respective Subsidiaries.</w:t>
      </w:r>
    </w:p>
    <w:p>
      <w:pPr>
        <w:pStyle w:val="TextBody"/>
        <w:bidi w:val="0"/>
        <w:spacing w:before="240" w:after="283"/>
        <w:jc w:val="both"/>
        <w:rPr/>
      </w:pPr>
      <w:bookmarkStart w:id="279" w:name="xrefinanced_debt__shall_have_the_meaning"/>
      <w:bookmarkEnd w:id="279"/>
      <w:r>
        <w:rPr>
          <w:color w:val="000000"/>
        </w:rPr>
        <w:t>“</w:t>
      </w:r>
      <w:r>
        <w:rPr>
          <w:rFonts w:ascii="Times New Roman" w:hAnsi="Times New Roman"/>
          <w:color w:val="000000"/>
          <w:sz w:val="22"/>
          <w:u w:val="single"/>
        </w:rPr>
        <w:t>Refinanced Debt</w:t>
      </w:r>
      <w:r>
        <w:rPr>
          <w:rFonts w:ascii="Times New Roman" w:hAnsi="Times New Roman"/>
          <w:color w:val="000000"/>
          <w:sz w:val="20"/>
        </w:rPr>
        <w:t xml:space="preserve">” </w:t>
      </w:r>
      <w:r>
        <w:rPr>
          <w:rFonts w:ascii="Times New Roman" w:hAnsi="Times New Roman"/>
          <w:color w:val="000000"/>
          <w:sz w:val="22"/>
        </w:rPr>
        <w:t>shall have the meaning assigned to such term in the definition of “Credit Agreement Refinancing Indebtedness.”</w:t>
      </w:r>
    </w:p>
    <w:p>
      <w:pPr>
        <w:pStyle w:val="TextBody"/>
        <w:bidi w:val="0"/>
        <w:spacing w:before="240" w:after="283"/>
        <w:jc w:val="both"/>
        <w:rPr/>
      </w:pPr>
      <w:bookmarkStart w:id="280" w:name="xrefinancing_amendment__shall_mean_an_am"/>
      <w:bookmarkEnd w:id="280"/>
      <w:r>
        <w:rPr>
          <w:color w:val="000000"/>
        </w:rPr>
        <w:t>“</w:t>
      </w:r>
      <w:r>
        <w:rPr>
          <w:rFonts w:ascii="Times New Roman" w:hAnsi="Times New Roman"/>
          <w:color w:val="000000"/>
          <w:sz w:val="22"/>
          <w:u w:val="single"/>
        </w:rPr>
        <w:t>Refinancing Amendment</w:t>
      </w:r>
      <w:r>
        <w:rPr>
          <w:rFonts w:ascii="Times New Roman" w:hAnsi="Times New Roman"/>
          <w:color w:val="000000"/>
          <w:sz w:val="20"/>
        </w:rPr>
        <w:t xml:space="preserve">” </w:t>
      </w:r>
      <w:r>
        <w:rPr>
          <w:rFonts w:ascii="Times New Roman" w:hAnsi="Times New Roman"/>
          <w:color w:val="000000"/>
          <w:sz w:val="22"/>
        </w:rPr>
        <w:t xml:space="preserve">shall mean an amendment to this Agreement executed by each of (a) the Borrower, (b) the Administrative Agent and (c) each Additional Lender and Lender that agrees to provide any portion of the Credit Agreement Refinancing Indebtedness being incurred pursuant thereto, in accordance with </w:t>
      </w:r>
      <w:r>
        <w:rPr>
          <w:rFonts w:ascii="Times New Roman" w:hAnsi="Times New Roman"/>
          <w:color w:val="000000"/>
          <w:sz w:val="22"/>
          <w:u w:val="single"/>
        </w:rPr>
        <w:t>Section 2.27</w:t>
      </w:r>
      <w:r>
        <w:rPr>
          <w:rFonts w:ascii="Times New Roman" w:hAnsi="Times New Roman"/>
          <w:color w:val="000000"/>
          <w:sz w:val="22"/>
        </w:rPr>
        <w:t>.</w:t>
      </w:r>
    </w:p>
    <w:p>
      <w:pPr>
        <w:pStyle w:val="TextBody"/>
        <w:bidi w:val="0"/>
        <w:spacing w:before="240" w:after="283"/>
        <w:jc w:val="both"/>
        <w:rPr/>
      </w:pPr>
      <w:bookmarkStart w:id="281" w:name="xrefinancing_debt__shall_have_the_meanin"/>
      <w:bookmarkEnd w:id="281"/>
      <w:r>
        <w:rPr>
          <w:color w:val="000000"/>
        </w:rPr>
        <w:t>“</w:t>
      </w:r>
      <w:r>
        <w:rPr>
          <w:rFonts w:ascii="Times New Roman" w:hAnsi="Times New Roman"/>
          <w:color w:val="000000"/>
          <w:sz w:val="22"/>
          <w:u w:val="single"/>
        </w:rPr>
        <w:t>Refinancing Debt</w:t>
      </w:r>
      <w:r>
        <w:rPr>
          <w:rFonts w:ascii="Times New Roman" w:hAnsi="Times New Roman"/>
          <w:color w:val="000000"/>
          <w:sz w:val="20"/>
        </w:rPr>
        <w:t xml:space="preserve">” </w:t>
      </w:r>
      <w:r>
        <w:rPr>
          <w:rFonts w:ascii="Times New Roman" w:hAnsi="Times New Roman"/>
          <w:color w:val="000000"/>
          <w:sz w:val="22"/>
        </w:rPr>
        <w:t>shall have the meaning assigned to such term in the definition of “Credit Agreement Refinancing Indebtedness.”</w:t>
      </w:r>
    </w:p>
    <w:p>
      <w:pPr>
        <w:pStyle w:val="TextBody"/>
        <w:bidi w:val="0"/>
        <w:spacing w:before="240" w:after="283"/>
        <w:jc w:val="both"/>
        <w:rPr/>
      </w:pPr>
      <w:bookmarkStart w:id="282" w:name="xregulation_d__shall_mean_regulation_d_o"/>
      <w:bookmarkEnd w:id="282"/>
      <w:r>
        <w:rPr>
          <w:color w:val="000000"/>
        </w:rPr>
        <w:t>“</w:t>
      </w:r>
      <w:r>
        <w:rPr>
          <w:rFonts w:ascii="Times New Roman" w:hAnsi="Times New Roman"/>
          <w:color w:val="000000"/>
          <w:sz w:val="22"/>
          <w:u w:val="single"/>
        </w:rPr>
        <w:t>Regulation D</w:t>
      </w:r>
      <w:r>
        <w:rPr>
          <w:rFonts w:ascii="Times New Roman" w:hAnsi="Times New Roman"/>
          <w:color w:val="000000"/>
          <w:sz w:val="20"/>
        </w:rPr>
        <w:t xml:space="preserve">” </w:t>
      </w:r>
      <w:r>
        <w:rPr>
          <w:rFonts w:ascii="Times New Roman" w:hAnsi="Times New Roman"/>
          <w:color w:val="000000"/>
          <w:sz w:val="22"/>
        </w:rPr>
        <w:t>shall mean Regulation D of the Board of Governors of the Federal Reserve System, as the same may be in effect from time to time, and any successor regulations.</w:t>
      </w:r>
    </w:p>
    <w:p>
      <w:pPr>
        <w:pStyle w:val="TextBody"/>
        <w:bidi w:val="0"/>
        <w:spacing w:before="240" w:after="283"/>
        <w:jc w:val="both"/>
        <w:rPr/>
      </w:pPr>
      <w:bookmarkStart w:id="283" w:name="xregulation_t__shall_mean_regulation_t_o"/>
      <w:bookmarkEnd w:id="283"/>
      <w:r>
        <w:rPr>
          <w:color w:val="000000"/>
        </w:rPr>
        <w:t>“</w:t>
      </w:r>
      <w:r>
        <w:rPr>
          <w:rFonts w:ascii="Times New Roman" w:hAnsi="Times New Roman"/>
          <w:color w:val="000000"/>
          <w:sz w:val="22"/>
          <w:u w:val="single"/>
        </w:rPr>
        <w:t>Regulation T</w:t>
      </w:r>
      <w:r>
        <w:rPr>
          <w:rFonts w:ascii="Times New Roman" w:hAnsi="Times New Roman"/>
          <w:color w:val="000000"/>
          <w:sz w:val="20"/>
        </w:rPr>
        <w:t xml:space="preserve">” </w:t>
      </w:r>
      <w:r>
        <w:rPr>
          <w:rFonts w:ascii="Times New Roman" w:hAnsi="Times New Roman"/>
          <w:color w:val="000000"/>
          <w:sz w:val="22"/>
        </w:rPr>
        <w:t>shall mean Regulation T of the Board of Governors of the Federal Reserve System, as the same may be in effect from time to time, and any successor regulations.</w:t>
      </w:r>
    </w:p>
    <w:p>
      <w:pPr>
        <w:pStyle w:val="TextBody"/>
        <w:bidi w:val="0"/>
        <w:spacing w:before="240" w:after="283"/>
        <w:jc w:val="both"/>
        <w:rPr/>
      </w:pPr>
      <w:bookmarkStart w:id="284" w:name="xregulation_u__shall_mean_regulation_u_o"/>
      <w:bookmarkEnd w:id="284"/>
      <w:r>
        <w:rPr>
          <w:color w:val="000000"/>
        </w:rPr>
        <w:t>“</w:t>
      </w:r>
      <w:r>
        <w:rPr>
          <w:rFonts w:ascii="Times New Roman" w:hAnsi="Times New Roman"/>
          <w:color w:val="000000"/>
          <w:sz w:val="22"/>
          <w:u w:val="single"/>
        </w:rPr>
        <w:t>Regulation U</w:t>
      </w:r>
      <w:r>
        <w:rPr>
          <w:rFonts w:ascii="Times New Roman" w:hAnsi="Times New Roman"/>
          <w:color w:val="000000"/>
          <w:sz w:val="20"/>
        </w:rPr>
        <w:t xml:space="preserve">” </w:t>
      </w:r>
      <w:r>
        <w:rPr>
          <w:rFonts w:ascii="Times New Roman" w:hAnsi="Times New Roman"/>
          <w:color w:val="000000"/>
          <w:sz w:val="22"/>
        </w:rPr>
        <w:t>shall mean Regulation U of the Board of Governors of the Federal Reserve System, as the same may be in effect from time to time, and any successor regulations.</w:t>
      </w:r>
    </w:p>
    <w:p>
      <w:pPr>
        <w:pStyle w:val="TextBody"/>
        <w:bidi w:val="0"/>
        <w:spacing w:before="240" w:after="283"/>
        <w:jc w:val="both"/>
        <w:rPr/>
      </w:pPr>
      <w:bookmarkStart w:id="285" w:name="xregulation_x__shall_mean_regulation_x_o"/>
      <w:bookmarkEnd w:id="285"/>
      <w:r>
        <w:rPr>
          <w:color w:val="000000"/>
        </w:rPr>
        <w:t>“</w:t>
      </w:r>
      <w:r>
        <w:rPr>
          <w:rFonts w:ascii="Times New Roman" w:hAnsi="Times New Roman"/>
          <w:color w:val="000000"/>
          <w:sz w:val="22"/>
          <w:u w:val="single"/>
        </w:rPr>
        <w:t>Regulation X</w:t>
      </w:r>
      <w:r>
        <w:rPr>
          <w:rFonts w:ascii="Times New Roman" w:hAnsi="Times New Roman"/>
          <w:color w:val="000000"/>
          <w:sz w:val="20"/>
        </w:rPr>
        <w:t xml:space="preserve">” </w:t>
      </w:r>
      <w:r>
        <w:rPr>
          <w:rFonts w:ascii="Times New Roman" w:hAnsi="Times New Roman"/>
          <w:color w:val="000000"/>
          <w:sz w:val="22"/>
        </w:rPr>
        <w:t>shall mean Regulation X of the Board of Governors of the Federal Reserve System, as the same may be in effect from time to time, and any successor regulations.</w:t>
      </w:r>
    </w:p>
    <w:p>
      <w:pPr>
        <w:pStyle w:val="TextBody"/>
        <w:bidi w:val="0"/>
        <w:spacing w:before="240" w:after="283"/>
        <w:jc w:val="both"/>
        <w:rPr/>
      </w:pPr>
      <w:bookmarkStart w:id="286" w:name="xregulation_y__shall_mean_regulation_y_o"/>
      <w:bookmarkEnd w:id="286"/>
      <w:r>
        <w:rPr>
          <w:color w:val="000000"/>
        </w:rPr>
        <w:t>“</w:t>
      </w:r>
      <w:r>
        <w:rPr>
          <w:rFonts w:ascii="Times New Roman" w:hAnsi="Times New Roman"/>
          <w:color w:val="000000"/>
          <w:sz w:val="22"/>
          <w:u w:val="single"/>
        </w:rPr>
        <w:t>Regulation Y</w:t>
      </w:r>
      <w:r>
        <w:rPr>
          <w:rFonts w:ascii="Times New Roman" w:hAnsi="Times New Roman"/>
          <w:color w:val="000000"/>
          <w:sz w:val="20"/>
        </w:rPr>
        <w:t xml:space="preserve">” </w:t>
      </w:r>
      <w:r>
        <w:rPr>
          <w:rFonts w:ascii="Times New Roman" w:hAnsi="Times New Roman"/>
          <w:color w:val="000000"/>
          <w:sz w:val="22"/>
        </w:rPr>
        <w:t>shall mean Regulation Y of the Board of Governors of the Federal Reserve System, as the same may be in effect from time to time, and any successor regulations.</w:t>
      </w:r>
    </w:p>
    <w:p>
      <w:pPr>
        <w:pStyle w:val="TextBody"/>
        <w:bidi w:val="0"/>
        <w:spacing w:before="240" w:after="283"/>
        <w:jc w:val="both"/>
        <w:rPr/>
      </w:pPr>
      <w:bookmarkStart w:id="287" w:name="xrelated_parties__shall_mean__with_respe"/>
      <w:bookmarkEnd w:id="287"/>
      <w:r>
        <w:rPr>
          <w:color w:val="000000"/>
        </w:rPr>
        <w:t>“</w:t>
      </w:r>
      <w:r>
        <w:rPr>
          <w:rFonts w:ascii="Times New Roman" w:hAnsi="Times New Roman"/>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shall mean, with respect to any specified Person, such Person’s Affiliates and the respective managers, administrators, trustees, partners, directors, managers, members, officers, employees, agents, advisors, legal counsel, consultants or other representatives of such Person and such Person’s Affiliates.</w:t>
      </w:r>
    </w:p>
    <w:p>
      <w:pPr>
        <w:pStyle w:val="TextBody"/>
        <w:bidi w:val="0"/>
        <w:spacing w:before="240" w:after="283"/>
        <w:jc w:val="both"/>
        <w:rPr/>
      </w:pPr>
      <w:bookmarkStart w:id="288" w:name="xrelease__shall_mean_any_release__spill_"/>
      <w:bookmarkEnd w:id="288"/>
      <w:r>
        <w:rPr>
          <w:color w:val="000000"/>
        </w:rPr>
        <w:t>“</w:t>
      </w:r>
      <w:r>
        <w:rPr>
          <w:rFonts w:ascii="Times New Roman" w:hAnsi="Times New Roman"/>
          <w:color w:val="000000"/>
          <w:sz w:val="22"/>
          <w:u w:val="single"/>
        </w:rPr>
        <w:t>Release</w:t>
      </w:r>
      <w:r>
        <w:rPr>
          <w:rFonts w:ascii="Times New Roman" w:hAnsi="Times New Roman"/>
          <w:color w:val="000000"/>
          <w:sz w:val="20"/>
        </w:rPr>
        <w:t xml:space="preserve">” </w:t>
      </w:r>
      <w:r>
        <w:rPr>
          <w:rFonts w:ascii="Times New Roman" w:hAnsi="Times New Roman"/>
          <w:color w:val="000000"/>
          <w:sz w:val="22"/>
        </w:rPr>
        <w:t>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pStyle w:val="TextBody"/>
        <w:bidi w:val="0"/>
        <w:spacing w:before="240" w:after="283"/>
        <w:jc w:val="both"/>
        <w:rPr/>
      </w:pPr>
      <w:bookmarkStart w:id="289" w:name="xrelevant_governmental_body__shall_mean_"/>
      <w:bookmarkEnd w:id="289"/>
      <w:r>
        <w:rPr>
          <w:color w:val="000000"/>
        </w:rPr>
        <w:t>“</w:t>
      </w:r>
      <w:r>
        <w:rPr>
          <w:rFonts w:ascii="Times New Roman" w:hAnsi="Times New Roman"/>
          <w:color w:val="000000"/>
          <w:sz w:val="22"/>
          <w:u w:val="single"/>
        </w:rPr>
        <w:t>Relevant Governmental Body</w:t>
      </w:r>
      <w:r>
        <w:rPr>
          <w:rFonts w:ascii="Times New Roman" w:hAnsi="Times New Roman"/>
          <w:color w:val="000000"/>
          <w:sz w:val="20"/>
        </w:rPr>
        <w:t xml:space="preserve">” </w:t>
      </w:r>
      <w:r>
        <w:rPr>
          <w:rFonts w:ascii="Times New Roman" w:hAnsi="Times New Roman"/>
          <w:color w:val="000000"/>
          <w:sz w:val="22"/>
        </w:rPr>
        <w:t>shall mean the Federal Reserve Board and/or the Federal Reserve Bank of New York, or a committee officially endorsed or convened by the Federal Reserve Board and/or the Federal Reserve Bank of New York or any successor thereto.</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290" w:name="xrequired_additional_debt_terms__shall_m"/>
      <w:bookmarkEnd w:id="290"/>
      <w:r>
        <w:rPr>
          <w:color w:val="000000"/>
        </w:rPr>
        <w:t>“</w:t>
      </w:r>
      <w:r>
        <w:rPr>
          <w:rFonts w:ascii="Times New Roman" w:hAnsi="Times New Roman"/>
          <w:color w:val="000000"/>
          <w:sz w:val="22"/>
          <w:u w:val="single"/>
        </w:rPr>
        <w:t>Required Additional Debt Terms</w:t>
      </w:r>
      <w:r>
        <w:rPr>
          <w:rFonts w:ascii="Times New Roman" w:hAnsi="Times New Roman"/>
          <w:color w:val="000000"/>
          <w:sz w:val="20"/>
        </w:rPr>
        <w:t xml:space="preserve">” </w:t>
      </w:r>
      <w:r>
        <w:rPr>
          <w:rFonts w:ascii="Times New Roman" w:hAnsi="Times New Roman"/>
          <w:color w:val="000000"/>
          <w:sz w:val="22"/>
        </w:rPr>
        <w:t xml:space="preserve">shall mean, with respect to any Indebtedness, (a) to the extent such Indebtedness is secured by Liens ranking junior to the Liens securing the Obligations or is unsecured, the final maturity date of such Indebtedness shall be at least ninety-one (91) days after the Latest Maturity Date, (b) such Indebtedness shall not be guaranteed by any entity that is not a Loan Party, (c) in the case of any secured Indebtedness, (i) such Indebtedness shall not be secured by any assets not securing the Obligations and (ii) shall be subject to the relevant Intercreditor Agreement(s), (d) such Indebtedness shall not have mandatory redemption features (other than customary asset sale, insurance and condemnation proceeds events and change of control offers, and subject to customary exceptions for bridge financings;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each case, such Indebtedness shall not participate in any such prepayment on a greater than pro rata basis with the Term Loans) that could result in redemptions of such Indebtedness prior to the Latest Maturity Date, (e) to the extent such Indebtedness is secured by Liens ranking junior to the Liens securing the Obligations or unsecured, such Indebtedness shall not have amortization, and (f) such Indebtedness shall have terms and conditions (taken as a whole) that (excluding pricing, fees, interest rate margins, interest rate floors, discounts, premiums and optional prepayment or redemption terms) are substantially identical to, or (taken as a whole) are not materially more favorable (when taken as a whole) to the lenders providing such Indebtedness than the comparable provisions applicable to the Indebtedness being refinanced (when taken as a whole) (except for covenants or other provisions applicable only to periods after the Latest Maturity Date at the time of such refinancing) (it being understood that (i) the Borrower shall have the right to unilaterally provide the existing Lenders with Additional Rights and the “not materially more favorable” requirement of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and compliance therewith shall be determined after giving effect to such Additional Rights and (ii) to the extent that any financial maintenance covenant is added for the benefit of any such Indebtedness, no consent shall be required by the Administrative Agent or any of the Lenders if such financial maintenance covenant is either (1) also added for the benefit of any corresponding Loans remaining outstanding after the issuance or incurrence of such Indebtedness or (2) only applicable after the Latest Maturity Date at the time of such refinancing).</w:t>
      </w:r>
    </w:p>
    <w:p>
      <w:pPr>
        <w:pStyle w:val="TextBody"/>
        <w:bidi w:val="0"/>
        <w:spacing w:before="240" w:after="283"/>
        <w:jc w:val="both"/>
        <w:rPr/>
      </w:pPr>
      <w:bookmarkStart w:id="291" w:name="xrequired_lenders__shall_mean__at_any_ti"/>
      <w:bookmarkEnd w:id="291"/>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shall mean, at any time, two or more unaffiliated Lenders (unless there is only one (1) Lender, in which case such Lender) holding more than 50% of the aggregate outstanding Revolving Commitments and the Term Loans at such time or if the Lenders have no Commitments outstanding, then two or more unaffiliated Lenders (unless there is only one (1) Lender, in which case such Lender) holding more than 50% of the aggregate outstanding Revolving Credit Exposure and the Term Loans of the Lenders at such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that any Lender is a Defaulting Lender, such Defaulting Lender and all of its Revolving Commitments, Revolving Credit Exposure and Term Loans shall be excluded for purposes of determining Required Lenders.</w:t>
      </w:r>
    </w:p>
    <w:p>
      <w:pPr>
        <w:pStyle w:val="TextBody"/>
        <w:bidi w:val="0"/>
        <w:spacing w:before="240" w:after="283"/>
        <w:jc w:val="both"/>
        <w:rPr/>
      </w:pPr>
      <w:bookmarkStart w:id="292" w:name="xrequired_revolving_lenders__shall_mean_"/>
      <w:bookmarkEnd w:id="292"/>
      <w:r>
        <w:rPr>
          <w:color w:val="000000"/>
        </w:rPr>
        <w:t>“</w:t>
      </w:r>
      <w:r>
        <w:rPr>
          <w:rFonts w:ascii="Times New Roman" w:hAnsi="Times New Roman"/>
          <w:color w:val="000000"/>
          <w:sz w:val="22"/>
          <w:u w:val="single"/>
        </w:rPr>
        <w:t>Required Revolving Lenders</w:t>
      </w:r>
      <w:r>
        <w:rPr>
          <w:rFonts w:ascii="Times New Roman" w:hAnsi="Times New Roman"/>
          <w:color w:val="000000"/>
          <w:sz w:val="20"/>
        </w:rPr>
        <w:t xml:space="preserve">” </w:t>
      </w:r>
      <w:r>
        <w:rPr>
          <w:rFonts w:ascii="Times New Roman" w:hAnsi="Times New Roman"/>
          <w:color w:val="000000"/>
          <w:sz w:val="22"/>
        </w:rPr>
        <w:t xml:space="preserve">shall mean, at any time, two or more unaffiliated Lenders (unless there is only one (1) Lender, in which case such Lender) holding more than 50% of the aggregate outstanding Revolving Commitments at such time or, if the Lenders have no Revolving Commitments outstanding, then two or more unaffiliated Lenders (unless there is only one (1) Lender, in which case such Lender) holding more than 50% of the aggregate Revolving Credit Exposure;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that any Lender is a Defaulting Lender, such Defaulting Lender and all of its Revolving Commitments and Revolving Credit Exposure shall be excluded for purposes of determining Required Revolving Lenders.</w:t>
      </w:r>
    </w:p>
    <w:p>
      <w:pPr>
        <w:pStyle w:val="TextBody"/>
        <w:bidi w:val="0"/>
        <w:spacing w:before="240" w:after="283"/>
        <w:jc w:val="both"/>
        <w:rPr/>
      </w:pPr>
      <w:bookmarkStart w:id="293" w:name="xresolution_authority__shall_mean_an_eea"/>
      <w:bookmarkEnd w:id="293"/>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shall mean an EEA Resolution Authority or, with respect to any UK Financial Institution, a UK Resolution Authority.</w:t>
      </w:r>
    </w:p>
    <w:p>
      <w:pPr>
        <w:pStyle w:val="TextBody"/>
        <w:bidi w:val="0"/>
        <w:spacing w:before="240" w:after="283"/>
        <w:jc w:val="both"/>
        <w:rPr/>
      </w:pPr>
      <w:bookmarkStart w:id="294" w:name="xresponsible_officer__shall_mean__x__wit"/>
      <w:bookmarkEnd w:id="294"/>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 xml:space="preserve">shall mean (x) with respect to certifying compliance with the financial covenants set forth in </w:t>
      </w:r>
      <w:r>
        <w:rPr>
          <w:rFonts w:ascii="Times New Roman" w:hAnsi="Times New Roman"/>
          <w:color w:val="000000"/>
          <w:sz w:val="22"/>
          <w:u w:val="single"/>
        </w:rPr>
        <w:t>Article VI</w:t>
      </w:r>
      <w:r>
        <w:rPr>
          <w:rFonts w:ascii="Times New Roman" w:hAnsi="Times New Roman"/>
          <w:color w:val="000000"/>
          <w:sz w:val="22"/>
        </w:rPr>
        <w:t>, the chief financial officer or treasurer of the Borrower and (y) with respect to all other provisions, any of the president, chief executive officer, chief operating officer, vice president, chief financial officer, treasurer or assistant treasurer, company secretary or other similar officer of a Loan Party, or any manager, sole member, managing member or general partner thereof or such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representative of such Loan Party as may be designated in writing by any one of the foregoing with the consent of the Administrative Agent.</w:t>
      </w:r>
    </w:p>
    <w:p>
      <w:pPr>
        <w:pStyle w:val="TextBody"/>
        <w:bidi w:val="0"/>
        <w:spacing w:before="240" w:after="283"/>
        <w:jc w:val="both"/>
        <w:rPr/>
      </w:pPr>
      <w:bookmarkStart w:id="295" w:name="xrestricted__shall_mean__when_referring_"/>
      <w:bookmarkEnd w:id="295"/>
      <w:r>
        <w:rPr>
          <w:color w:val="000000"/>
        </w:rPr>
        <w:t>“</w:t>
      </w:r>
      <w:r>
        <w:rPr>
          <w:rFonts w:ascii="Times New Roman" w:hAnsi="Times New Roman"/>
          <w:color w:val="000000"/>
          <w:sz w:val="22"/>
          <w:u w:val="single"/>
        </w:rPr>
        <w:t>Restricted</w:t>
      </w:r>
      <w:r>
        <w:rPr>
          <w:rFonts w:ascii="Times New Roman" w:hAnsi="Times New Roman"/>
          <w:color w:val="000000"/>
          <w:sz w:val="20"/>
        </w:rPr>
        <w:t xml:space="preserve">” </w:t>
      </w:r>
      <w:r>
        <w:rPr>
          <w:rFonts w:ascii="Times New Roman" w:hAnsi="Times New Roman"/>
          <w:color w:val="000000"/>
          <w:sz w:val="22"/>
        </w:rPr>
        <w:t>shall mean, when referring to cash or Cash Equivalents of Holdings or any of its Subsidiaries, that such cash or Cash Equivalents (a) appears (or would be required to appear) as “restricted” on a consolidated balance sheet of Holdings or of any such Subsidiary (unless such appearance is related to the Loan Documents or Liens created thereunder) as determined in accordance with GAAP or (b) are subject to any Lien in favor of any Person other than Administrative Agent for the benefit of the Secured Parties (but excluding amounts serving as cash collateral for Letters of Credit) other than liens and rights of setoff in favor of depository banks.</w:t>
      </w:r>
    </w:p>
    <w:p>
      <w:pPr>
        <w:pStyle w:val="TextBody"/>
        <w:bidi w:val="0"/>
        <w:spacing w:before="240" w:after="283"/>
        <w:jc w:val="both"/>
        <w:rPr/>
      </w:pPr>
      <w:bookmarkStart w:id="296" w:name="xrestricted_debt__shall_mean__collective"/>
      <w:bookmarkEnd w:id="296"/>
      <w:r>
        <w:rPr>
          <w:color w:val="000000"/>
        </w:rPr>
        <w:t>“</w:t>
      </w:r>
      <w:r>
        <w:rPr>
          <w:rFonts w:ascii="Times New Roman" w:hAnsi="Times New Roman"/>
          <w:color w:val="000000"/>
          <w:sz w:val="22"/>
          <w:u w:val="single"/>
        </w:rPr>
        <w:t>Restricted Debt</w:t>
      </w:r>
      <w:r>
        <w:rPr>
          <w:rFonts w:ascii="Times New Roman" w:hAnsi="Times New Roman"/>
          <w:color w:val="000000"/>
          <w:sz w:val="20"/>
        </w:rPr>
        <w:t xml:space="preserve">” </w:t>
      </w:r>
      <w:r>
        <w:rPr>
          <w:rFonts w:ascii="Times New Roman" w:hAnsi="Times New Roman"/>
          <w:color w:val="000000"/>
          <w:sz w:val="22"/>
        </w:rPr>
        <w:t xml:space="preserve">shall mean, collectively, any Indebtedness under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of the definition thereof that constitutes Material Indebtedness and is subordinated in right of payment to the Obligations. Notwithstanding anything to the contrary contained herein, “Restricted Debt” shall exclude intercompany Indebtedness.</w:t>
      </w:r>
    </w:p>
    <w:p>
      <w:pPr>
        <w:pStyle w:val="TextBody"/>
        <w:bidi w:val="0"/>
        <w:spacing w:before="240" w:after="283"/>
        <w:jc w:val="both"/>
        <w:rPr/>
      </w:pPr>
      <w:bookmarkStart w:id="297" w:name="xrestricted_payment__shall_mean_any_divi"/>
      <w:bookmarkEnd w:id="297"/>
      <w:r>
        <w:rPr>
          <w:color w:val="000000"/>
        </w:rPr>
        <w:t>“</w:t>
      </w:r>
      <w:r>
        <w:rPr>
          <w:rFonts w:ascii="Times New Roman" w:hAnsi="Times New Roman"/>
          <w:color w:val="000000"/>
          <w:sz w:val="22"/>
          <w:u w:val="single"/>
        </w:rPr>
        <w:t>Restricted Payment</w:t>
      </w:r>
      <w:r>
        <w:rPr>
          <w:rFonts w:ascii="Times New Roman" w:hAnsi="Times New Roman"/>
          <w:color w:val="000000"/>
          <w:sz w:val="20"/>
        </w:rPr>
        <w:t xml:space="preserve">” </w:t>
      </w:r>
      <w:r>
        <w:rPr>
          <w:rFonts w:ascii="Times New Roman" w:hAnsi="Times New Roman"/>
          <w:color w:val="000000"/>
          <w:sz w:val="22"/>
        </w:rPr>
        <w:t>shall mean any dividend or other distribution (whether in cash, securities or other property) with respect to any Capital Stock of any Person, or any payment (whether in cash, securities or other property), including any sinking fund or similar deposit, on account of the purchase, redemption, retirement, defeasance, acquisition, cancellation or termination of any such Capital Stock or on account of any return of capital to such Person’s stockholders, partners or members (or the equivalent Person thereof), or any option, warrant or other right to acquire any such dividend or other distribution or payment.</w:t>
      </w:r>
    </w:p>
    <w:p>
      <w:pPr>
        <w:pStyle w:val="TextBody"/>
        <w:bidi w:val="0"/>
        <w:spacing w:before="240" w:after="283"/>
        <w:jc w:val="both"/>
        <w:rPr/>
      </w:pPr>
      <w:bookmarkStart w:id="298" w:name="xrevolving_commitment__shall_mean__with_"/>
      <w:bookmarkEnd w:id="298"/>
      <w:r>
        <w:rPr>
          <w:color w:val="000000"/>
        </w:rPr>
        <w:t>“</w:t>
      </w:r>
      <w:r>
        <w:rPr>
          <w:rFonts w:ascii="Times New Roman" w:hAnsi="Times New Roman"/>
          <w:color w:val="000000"/>
          <w:sz w:val="22"/>
          <w:u w:val="single"/>
        </w:rPr>
        <w:t>Revolving Commitment</w:t>
      </w:r>
      <w:r>
        <w:rPr>
          <w:rFonts w:ascii="Times New Roman" w:hAnsi="Times New Roman"/>
          <w:color w:val="000000"/>
          <w:sz w:val="20"/>
        </w:rPr>
        <w:t xml:space="preserve">” </w:t>
      </w:r>
      <w:r>
        <w:rPr>
          <w:rFonts w:ascii="Times New Roman" w:hAnsi="Times New Roman"/>
          <w:color w:val="000000"/>
          <w:sz w:val="22"/>
        </w:rPr>
        <w:t xml:space="preserve">shall mean, with respect to each Lender on any date, the commitment of such Lender on such date to make Revolving Loans to the Borrower and to acquire participations in Letters of Credit and Swingline Loans in an aggregate principal amount not exceeding the amount set forth with respect to such Lender on </w:t>
      </w:r>
      <w:r>
        <w:rPr>
          <w:rFonts w:ascii="Times New Roman" w:hAnsi="Times New Roman"/>
          <w:color w:val="000000"/>
          <w:sz w:val="22"/>
          <w:u w:val="single"/>
        </w:rPr>
        <w:t>Schedule I</w:t>
      </w:r>
      <w:r>
        <w:rPr>
          <w:rFonts w:ascii="Times New Roman" w:hAnsi="Times New Roman"/>
          <w:color w:val="000000"/>
          <w:sz w:val="22"/>
        </w:rPr>
        <w:t xml:space="preserve">, as such schedule may be amended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2.23</w:t>
      </w:r>
      <w:r>
        <w:rPr>
          <w:rFonts w:ascii="Times New Roman" w:hAnsi="Times New Roman"/>
          <w:color w:val="000000"/>
          <w:sz w:val="22"/>
        </w:rPr>
        <w:t>, or in the case of a Person becoming a Lender after the Closing Date, the amount of the assigned “Revolving Commitment” as provided in the Assignment and Acceptance executed by such Person as an assignee, or the joinder executed by such Person, in each case as such commitment may subsequently be increased or decreased pursuant to terms hereof.</w:t>
      </w:r>
    </w:p>
    <w:p>
      <w:pPr>
        <w:pStyle w:val="TextBody"/>
        <w:bidi w:val="0"/>
        <w:spacing w:before="240" w:after="283"/>
        <w:jc w:val="both"/>
        <w:rPr/>
      </w:pPr>
      <w:bookmarkStart w:id="299" w:name="xrevolving_commitment_termination_date__"/>
      <w:bookmarkEnd w:id="299"/>
      <w:r>
        <w:rPr>
          <w:color w:val="000000"/>
        </w:rPr>
        <w:t>“</w:t>
      </w:r>
      <w:r>
        <w:rPr>
          <w:rFonts w:ascii="Times New Roman" w:hAnsi="Times New Roman"/>
          <w:color w:val="000000"/>
          <w:sz w:val="22"/>
          <w:u w:val="single"/>
        </w:rPr>
        <w:t>Revolving Commitment Termination Date</w:t>
      </w:r>
      <w:r>
        <w:rPr>
          <w:rFonts w:ascii="Times New Roman" w:hAnsi="Times New Roman"/>
          <w:color w:val="000000"/>
          <w:sz w:val="20"/>
        </w:rPr>
        <w:t xml:space="preserve">” </w:t>
      </w:r>
      <w:r>
        <w:rPr>
          <w:rFonts w:ascii="Times New Roman" w:hAnsi="Times New Roman"/>
          <w:color w:val="000000"/>
          <w:sz w:val="22"/>
        </w:rPr>
        <w:t xml:space="preserve">shall mean the earliest of (i) May 8, 2031, (ii) the date on which the Revolving Commitments are terminated pursuant to </w:t>
      </w:r>
      <w:r>
        <w:rPr>
          <w:rFonts w:ascii="Times New Roman" w:hAnsi="Times New Roman"/>
          <w:color w:val="000000"/>
          <w:sz w:val="22"/>
          <w:u w:val="single"/>
        </w:rPr>
        <w:t>Section 2.8</w:t>
      </w:r>
      <w:r>
        <w:rPr>
          <w:rFonts w:ascii="Times New Roman" w:hAnsi="Times New Roman"/>
          <w:color w:val="000000"/>
          <w:sz w:val="20"/>
        </w:rPr>
        <w:t xml:space="preserve"> </w:t>
      </w:r>
      <w:r>
        <w:rPr>
          <w:rFonts w:ascii="Times New Roman" w:hAnsi="Times New Roman"/>
          <w:color w:val="000000"/>
          <w:sz w:val="22"/>
        </w:rPr>
        <w:t>and (iii) the date on which all amounts outstanding under this Agreement have been declared or have automatically become due and payable (whether by acceleration or otherwise).</w:t>
      </w:r>
    </w:p>
    <w:p>
      <w:pPr>
        <w:pStyle w:val="TextBody"/>
        <w:bidi w:val="0"/>
        <w:spacing w:before="240" w:after="283"/>
        <w:jc w:val="both"/>
        <w:rPr/>
      </w:pPr>
      <w:bookmarkStart w:id="300" w:name="xrevolving_credit_exposure__shall_mean__"/>
      <w:bookmarkEnd w:id="300"/>
      <w:r>
        <w:rPr>
          <w:color w:val="000000"/>
        </w:rPr>
        <w:t>“</w:t>
      </w:r>
      <w:r>
        <w:rPr>
          <w:rFonts w:ascii="Times New Roman" w:hAnsi="Times New Roman"/>
          <w:color w:val="000000"/>
          <w:sz w:val="22"/>
          <w:u w:val="single"/>
        </w:rPr>
        <w:t>Revolving Credit Exposure</w:t>
      </w:r>
      <w:r>
        <w:rPr>
          <w:rFonts w:ascii="Times New Roman" w:hAnsi="Times New Roman"/>
          <w:color w:val="000000"/>
          <w:sz w:val="20"/>
        </w:rPr>
        <w:t xml:space="preserve">” </w:t>
      </w:r>
      <w:r>
        <w:rPr>
          <w:rFonts w:ascii="Times New Roman" w:hAnsi="Times New Roman"/>
          <w:color w:val="000000"/>
          <w:sz w:val="22"/>
        </w:rPr>
        <w:t>shall mean, with respect to any Lender at any time, the sum of the outstanding principal amount of such Lender’s Revolving Loans, LC Exposure and Swingline Exposure.</w:t>
      </w:r>
    </w:p>
    <w:p>
      <w:pPr>
        <w:pStyle w:val="TextBody"/>
        <w:bidi w:val="0"/>
        <w:spacing w:before="240" w:after="283"/>
        <w:jc w:val="both"/>
        <w:rPr/>
      </w:pPr>
      <w:bookmarkStart w:id="301" w:name="xrevolving_loan__shall_mean_a_loan_made_"/>
      <w:bookmarkEnd w:id="301"/>
      <w:r>
        <w:rPr>
          <w:color w:val="000000"/>
        </w:rPr>
        <w:t>“</w:t>
      </w:r>
      <w:r>
        <w:rPr>
          <w:rFonts w:ascii="Times New Roman" w:hAnsi="Times New Roman"/>
          <w:color w:val="000000"/>
          <w:sz w:val="22"/>
          <w:u w:val="single"/>
        </w:rPr>
        <w:t>Revolving Loan</w:t>
      </w:r>
      <w:r>
        <w:rPr>
          <w:rFonts w:ascii="Times New Roman" w:hAnsi="Times New Roman"/>
          <w:color w:val="000000"/>
          <w:sz w:val="20"/>
        </w:rPr>
        <w:t xml:space="preserve">” </w:t>
      </w:r>
      <w:r>
        <w:rPr>
          <w:rFonts w:ascii="Times New Roman" w:hAnsi="Times New Roman"/>
          <w:color w:val="000000"/>
          <w:sz w:val="22"/>
        </w:rPr>
        <w:t>shall mean a loan made by a Lender (other than the Swingline Lender) to the Borrower under its Revolving Commitment, which may either be a Base Rate Loan or a SOFR Loan.</w:t>
      </w:r>
    </w:p>
    <w:p>
      <w:pPr>
        <w:pStyle w:val="TextBody"/>
        <w:bidi w:val="0"/>
        <w:spacing w:before="240" w:after="283"/>
        <w:jc w:val="both"/>
        <w:rPr/>
      </w:pPr>
      <w:bookmarkStart w:id="302" w:name="xs_p__shall_mean_s_p_global_ratings__a_d"/>
      <w:bookmarkEnd w:id="302"/>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shall mean S&amp;P Global Ratings, a division of S&amp;P Global Inc., and any successor thereto.</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303" w:name="xsanctioned_country__shall_mean__at_any_"/>
      <w:bookmarkEnd w:id="303"/>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shall mean, at any time, a country, region or territory that is the subject or target of comprehensive Sanctions (which as of the Closing Date includes the so-called Donetsk People’s Republic, the so-called Luhansk People’s Republic and the Crimea, Zaporizhzhia and Kherson Regions of Ukraine, Cuba, Iran, and North Korea).</w:t>
      </w:r>
    </w:p>
    <w:p>
      <w:pPr>
        <w:pStyle w:val="TextBody"/>
        <w:bidi w:val="0"/>
        <w:spacing w:before="240" w:after="283"/>
        <w:jc w:val="both"/>
        <w:rPr/>
      </w:pPr>
      <w:bookmarkStart w:id="304" w:name="xsanctioned_person__shall_mean__at_any_t"/>
      <w:bookmarkEnd w:id="304"/>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shall mean, at any time, (a) any Person that is the subject or target of any Sanctions, (b) any Person located, organized, operating or resident in a Sanctioned Country or (c) any Person 50% or more owned or otherwise controlled by any such Person.</w:t>
      </w:r>
    </w:p>
    <w:p>
      <w:pPr>
        <w:pStyle w:val="TextBody"/>
        <w:bidi w:val="0"/>
        <w:spacing w:before="240" w:after="283"/>
        <w:jc w:val="both"/>
        <w:rPr/>
      </w:pPr>
      <w:bookmarkStart w:id="305" w:name="xsanctions__shall_mean_economic_or_finan"/>
      <w:bookmarkEnd w:id="305"/>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shall mean economic or financial sanctions or trade embargoes imposed, administered or enforced from time to time by (a) the U.S. government, including those administered by OFAC or the U.S. Department of State, (b) the United Nations Security Council, the European Union or His Majesty’s Treasury of the United Kingdom or (c) any other relevant sanctions authority.</w:t>
      </w:r>
    </w:p>
    <w:p>
      <w:pPr>
        <w:pStyle w:val="TextBody"/>
        <w:bidi w:val="0"/>
        <w:spacing w:before="240" w:after="283"/>
        <w:jc w:val="both"/>
        <w:rPr/>
      </w:pPr>
      <w:bookmarkStart w:id="306" w:name="xsec__shall_mean_the_securities_and_exch"/>
      <w:bookmarkEnd w:id="306"/>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shall mean the Securities and Exchange Commission, or any Governmental Authority succeeding to any of its principal functions.</w:t>
      </w:r>
    </w:p>
    <w:p>
      <w:pPr>
        <w:pStyle w:val="TextBody"/>
        <w:bidi w:val="0"/>
        <w:spacing w:before="240" w:after="283"/>
        <w:jc w:val="both"/>
        <w:rPr/>
      </w:pPr>
      <w:bookmarkStart w:id="307" w:name="xsecond_lien_intercreditor_agreement__sh"/>
      <w:bookmarkEnd w:id="307"/>
      <w:r>
        <w:rPr>
          <w:color w:val="000000"/>
        </w:rPr>
        <w:t>“</w:t>
      </w:r>
      <w:r>
        <w:rPr>
          <w:rFonts w:ascii="Times New Roman" w:hAnsi="Times New Roman"/>
          <w:color w:val="000000"/>
          <w:sz w:val="22"/>
          <w:u w:val="single"/>
        </w:rPr>
        <w:t>Second Lien Intercreditor Agreement</w:t>
      </w:r>
      <w:r>
        <w:rPr>
          <w:rFonts w:ascii="Times New Roman" w:hAnsi="Times New Roman"/>
          <w:color w:val="000000"/>
          <w:sz w:val="20"/>
        </w:rPr>
        <w:t xml:space="preserve">” </w:t>
      </w:r>
      <w:r>
        <w:rPr>
          <w:rFonts w:ascii="Times New Roman" w:hAnsi="Times New Roman"/>
          <w:color w:val="000000"/>
          <w:sz w:val="22"/>
        </w:rPr>
        <w:t>shall mean an Intercreditor Agreement entered into among the Administrative Agent and one or more Senior Representatives for holders of Indebtedness secured by Liens on the Collateral that rank junior in priority to the Liens securing the Obligations (and acknowledged by the Loan Parties), with such modifications thereto as the Administrative Agent and the Borrower may reasonably agree.</w:t>
      </w:r>
    </w:p>
    <w:p>
      <w:pPr>
        <w:pStyle w:val="TextBody"/>
        <w:bidi w:val="0"/>
        <w:spacing w:before="240" w:after="283"/>
        <w:jc w:val="both"/>
        <w:rPr/>
      </w:pPr>
      <w:bookmarkStart w:id="308" w:name="xsecured_parties__shall_mean_the_adminis"/>
      <w:bookmarkEnd w:id="308"/>
      <w:r>
        <w:rPr>
          <w:color w:val="000000"/>
        </w:rPr>
        <w:t>“</w:t>
      </w:r>
      <w:r>
        <w:rPr>
          <w:rFonts w:ascii="Times New Roman" w:hAnsi="Times New Roman"/>
          <w:color w:val="000000"/>
          <w:sz w:val="22"/>
          <w:u w:val="single"/>
        </w:rPr>
        <w:t>Secured Parties</w:t>
      </w:r>
      <w:r>
        <w:rPr>
          <w:rFonts w:ascii="Times New Roman" w:hAnsi="Times New Roman"/>
          <w:color w:val="000000"/>
          <w:sz w:val="20"/>
        </w:rPr>
        <w:t xml:space="preserve">” </w:t>
      </w:r>
      <w:r>
        <w:rPr>
          <w:rFonts w:ascii="Times New Roman" w:hAnsi="Times New Roman"/>
          <w:color w:val="000000"/>
          <w:sz w:val="22"/>
        </w:rPr>
        <w:t>shall mean the Administrative Agent, the Lenders, the Issuing Bank, the Lender-Related Hedge Providers and the Bank Product Providers.</w:t>
      </w:r>
    </w:p>
    <w:p>
      <w:pPr>
        <w:pStyle w:val="TextBody"/>
        <w:bidi w:val="0"/>
        <w:spacing w:before="240" w:after="283"/>
        <w:jc w:val="both"/>
        <w:rPr/>
      </w:pPr>
      <w:bookmarkStart w:id="309" w:name="xsecurity_agreement__shall_mean_the_amen"/>
      <w:bookmarkEnd w:id="309"/>
      <w:r>
        <w:rPr>
          <w:color w:val="000000"/>
        </w:rPr>
        <w:t>“</w:t>
      </w:r>
      <w:r>
        <w:rPr>
          <w:rFonts w:ascii="Times New Roman" w:hAnsi="Times New Roman"/>
          <w:color w:val="000000"/>
          <w:sz w:val="22"/>
          <w:u w:val="single"/>
        </w:rPr>
        <w:t>Security Agreement</w:t>
      </w:r>
      <w:r>
        <w:rPr>
          <w:rFonts w:ascii="Times New Roman" w:hAnsi="Times New Roman"/>
          <w:color w:val="000000"/>
          <w:sz w:val="20"/>
        </w:rPr>
        <w:t xml:space="preserve">” </w:t>
      </w:r>
      <w:r>
        <w:rPr>
          <w:rFonts w:ascii="Times New Roman" w:hAnsi="Times New Roman"/>
          <w:color w:val="000000"/>
          <w:sz w:val="22"/>
        </w:rPr>
        <w:t>shall mean the amended and restated security and pledge agreement dated as of the Closing Date executed in favor of the Administrative Agent, for the benefit of the Secured Parties, by each of the Loan Parties.</w:t>
      </w:r>
    </w:p>
    <w:p>
      <w:pPr>
        <w:pStyle w:val="TextBody"/>
        <w:bidi w:val="0"/>
        <w:spacing w:before="240" w:after="283"/>
        <w:jc w:val="both"/>
        <w:rPr/>
      </w:pPr>
      <w:bookmarkStart w:id="310" w:name="xsenior_representative__shall_mean__with"/>
      <w:bookmarkEnd w:id="310"/>
      <w:r>
        <w:rPr>
          <w:color w:val="000000"/>
        </w:rPr>
        <w:t>“</w:t>
      </w:r>
      <w:r>
        <w:rPr>
          <w:rFonts w:ascii="Times New Roman" w:hAnsi="Times New Roman"/>
          <w:color w:val="000000"/>
          <w:sz w:val="22"/>
          <w:u w:val="single"/>
        </w:rPr>
        <w:t>Senior Representative</w:t>
      </w:r>
      <w:r>
        <w:rPr>
          <w:rFonts w:ascii="Times New Roman" w:hAnsi="Times New Roman"/>
          <w:color w:val="000000"/>
          <w:sz w:val="20"/>
        </w:rPr>
        <w:t xml:space="preserve">” </w:t>
      </w:r>
      <w:r>
        <w:rPr>
          <w:rFonts w:ascii="Times New Roman" w:hAnsi="Times New Roman"/>
          <w:color w:val="000000"/>
          <w:sz w:val="22"/>
        </w:rPr>
        <w:t>shall mean, with respect to any series of Permitted Senior Refinancing Debt, Permitted Junior Refinancing Debt or other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240" w:after="283"/>
        <w:jc w:val="both"/>
        <w:rPr/>
      </w:pPr>
      <w:bookmarkStart w:id="311" w:name="xsofr__shall_mean_a_rate_per_annum_equal"/>
      <w:bookmarkEnd w:id="311"/>
      <w:r>
        <w:rPr>
          <w:color w:val="000000"/>
        </w:rPr>
        <w:t>“</w:t>
      </w:r>
      <w:r>
        <w:rPr>
          <w:rFonts w:ascii="Times New Roman" w:hAnsi="Times New Roman"/>
          <w:color w:val="000000"/>
          <w:sz w:val="22"/>
          <w:u w:val="single"/>
        </w:rPr>
        <w:t>SOFR</w:t>
      </w:r>
      <w:r>
        <w:rPr>
          <w:rFonts w:ascii="Times New Roman" w:hAnsi="Times New Roman"/>
          <w:color w:val="000000"/>
          <w:sz w:val="20"/>
        </w:rPr>
        <w:t xml:space="preserve">” </w:t>
      </w:r>
      <w:r>
        <w:rPr>
          <w:rFonts w:ascii="Times New Roman" w:hAnsi="Times New Roman"/>
          <w:color w:val="000000"/>
          <w:sz w:val="22"/>
        </w:rPr>
        <w:t>shall mean a rate per annum equal to the secured overnight financing rate as administered by the SOFR Administrator.</w:t>
      </w:r>
    </w:p>
    <w:p>
      <w:pPr>
        <w:pStyle w:val="TextBody"/>
        <w:bidi w:val="0"/>
        <w:spacing w:before="240" w:after="283"/>
        <w:jc w:val="both"/>
        <w:rPr/>
      </w:pPr>
      <w:bookmarkStart w:id="312" w:name="xsofr_administrator__shall_mean_the_fede"/>
      <w:bookmarkEnd w:id="312"/>
      <w:r>
        <w:rPr>
          <w:color w:val="000000"/>
        </w:rPr>
        <w:t>“</w:t>
      </w:r>
      <w:r>
        <w:rPr>
          <w:rFonts w:ascii="Times New Roman" w:hAnsi="Times New Roman"/>
          <w:color w:val="000000"/>
          <w:sz w:val="22"/>
          <w:u w:val="single"/>
        </w:rPr>
        <w:t>SOFR Administrator</w:t>
      </w:r>
      <w:r>
        <w:rPr>
          <w:rFonts w:ascii="Times New Roman" w:hAnsi="Times New Roman"/>
          <w:color w:val="000000"/>
          <w:sz w:val="20"/>
        </w:rPr>
        <w:t xml:space="preserve">” </w:t>
      </w:r>
      <w:r>
        <w:rPr>
          <w:rFonts w:ascii="Times New Roman" w:hAnsi="Times New Roman"/>
          <w:color w:val="000000"/>
          <w:sz w:val="22"/>
        </w:rPr>
        <w:t>shall mean the Federal Reserve Bank of New York (or a successor administrator of the secured overnight financing rate).</w:t>
      </w:r>
    </w:p>
    <w:p>
      <w:pPr>
        <w:pStyle w:val="TextBody"/>
        <w:bidi w:val="0"/>
        <w:spacing w:before="240" w:after="283"/>
        <w:jc w:val="both"/>
        <w:rPr/>
      </w:pPr>
      <w:bookmarkStart w:id="313" w:name="xsofr_borrowing__shall_mean_a_borrowing_"/>
      <w:bookmarkEnd w:id="313"/>
      <w:r>
        <w:rPr>
          <w:color w:val="000000"/>
        </w:rPr>
        <w:t>“</w:t>
      </w:r>
      <w:r>
        <w:rPr>
          <w:rFonts w:ascii="Times New Roman" w:hAnsi="Times New Roman"/>
          <w:color w:val="000000"/>
          <w:sz w:val="22"/>
          <w:u w:val="single"/>
        </w:rPr>
        <w:t>SOFR Borrowing</w:t>
      </w:r>
      <w:r>
        <w:rPr>
          <w:rFonts w:ascii="Times New Roman" w:hAnsi="Times New Roman"/>
          <w:color w:val="000000"/>
          <w:sz w:val="20"/>
        </w:rPr>
        <w:t xml:space="preserve">” </w:t>
      </w:r>
      <w:r>
        <w:rPr>
          <w:rFonts w:ascii="Times New Roman" w:hAnsi="Times New Roman"/>
          <w:color w:val="000000"/>
          <w:sz w:val="22"/>
        </w:rPr>
        <w:t xml:space="preserve">shall mean a Borrowing that bears interest at a rate based on Term SOFR, other than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“Base Rate”.</w:t>
      </w:r>
    </w:p>
    <w:p>
      <w:pPr>
        <w:pStyle w:val="TextBody"/>
        <w:bidi w:val="0"/>
        <w:spacing w:before="240" w:after="283"/>
        <w:jc w:val="both"/>
        <w:rPr/>
      </w:pPr>
      <w:bookmarkStart w:id="314" w:name="xsofr_loan__shall_mean_a_loan_that_bears"/>
      <w:bookmarkEnd w:id="314"/>
      <w:r>
        <w:rPr>
          <w:color w:val="000000"/>
        </w:rPr>
        <w:t>“</w:t>
      </w:r>
      <w:r>
        <w:rPr>
          <w:rFonts w:ascii="Times New Roman" w:hAnsi="Times New Roman"/>
          <w:color w:val="000000"/>
          <w:sz w:val="22"/>
          <w:u w:val="single"/>
        </w:rPr>
        <w:t>SOFR Loan</w:t>
      </w:r>
      <w:r>
        <w:rPr>
          <w:rFonts w:ascii="Times New Roman" w:hAnsi="Times New Roman"/>
          <w:color w:val="000000"/>
          <w:sz w:val="20"/>
        </w:rPr>
        <w:t xml:space="preserve">” </w:t>
      </w:r>
      <w:r>
        <w:rPr>
          <w:rFonts w:ascii="Times New Roman" w:hAnsi="Times New Roman"/>
          <w:color w:val="000000"/>
          <w:sz w:val="22"/>
        </w:rPr>
        <w:t xml:space="preserve">shall mean a Loan that bears interest at a rate based on Term SOFR, other than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“Base Rate”.</w:t>
      </w:r>
    </w:p>
    <w:p>
      <w:pPr>
        <w:pStyle w:val="TextBody"/>
        <w:bidi w:val="0"/>
        <w:spacing w:before="240" w:after="283"/>
        <w:jc w:val="both"/>
        <w:rPr/>
      </w:pPr>
      <w:bookmarkStart w:id="315" w:name="xsolvent__shall_mean__with_respect_to_an"/>
      <w:bookmarkEnd w:id="315"/>
      <w:r>
        <w:rPr>
          <w:color w:val="000000"/>
        </w:rPr>
        <w:t>“</w:t>
      </w:r>
      <w:r>
        <w:rPr>
          <w:rFonts w:ascii="Times New Roman" w:hAnsi="Times New Roman"/>
          <w:color w:val="000000"/>
          <w:sz w:val="22"/>
          <w:u w:val="single"/>
        </w:rPr>
        <w:t>Solvent</w:t>
      </w:r>
      <w:r>
        <w:rPr>
          <w:rFonts w:ascii="Times New Roman" w:hAnsi="Times New Roman"/>
          <w:color w:val="000000"/>
          <w:sz w:val="20"/>
        </w:rPr>
        <w:t xml:space="preserve">” </w:t>
      </w:r>
      <w:r>
        <w:rPr>
          <w:rFonts w:ascii="Times New Roman" w:hAnsi="Times New Roman"/>
          <w:color w:val="000000"/>
          <w:sz w:val="22"/>
        </w:rPr>
        <w:t>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liabilities, including subordinated and contingent liabilities as they become absolute and matured; (c) such Person does not intend to, and does not believe that it will, incur debts or liabilities beyond such Person’s ability to pay as such debts and liabilities mature; (d) such Person is not engaged in a business or transaction, and is not about to engage in a business or transaction, for which such Person’s property would constitute an unreasonably small capital; (e) such Person is able to pay its debts and other liabilities, contingent obligations and other commitments as they mature in the ordinary course of business and (f) such Person does not intend, in any transaction, to hinder, delay or defraud either present or future creditors or any other person to which such Person is or will become, through such transaction, indebted. The amount of contingent liabilities (such as litigation, guaranties and pension plan liabilities) at any time shall be computed as the amount that, in light of all the facts and circumstances existing at the time, represents the amount that could reasonably be expected to become an actual or matured liability.</w:t>
      </w:r>
    </w:p>
    <w:p>
      <w:pPr>
        <w:pStyle w:val="TextBody"/>
        <w:bidi w:val="0"/>
        <w:spacing w:before="240" w:after="283"/>
        <w:jc w:val="both"/>
        <w:rPr/>
      </w:pPr>
      <w:bookmarkStart w:id="316" w:name="xspecified_event_of_default__shall_mean_"/>
      <w:bookmarkEnd w:id="316"/>
      <w:r>
        <w:rPr>
          <w:color w:val="000000"/>
        </w:rPr>
        <w:t>“</w:t>
      </w:r>
      <w:r>
        <w:rPr>
          <w:rFonts w:ascii="Times New Roman" w:hAnsi="Times New Roman"/>
          <w:color w:val="000000"/>
          <w:sz w:val="22"/>
          <w:u w:val="single"/>
        </w:rPr>
        <w:t>Specified Event of Default</w:t>
      </w:r>
      <w:r>
        <w:rPr>
          <w:rFonts w:ascii="Times New Roman" w:hAnsi="Times New Roman"/>
          <w:color w:val="000000"/>
          <w:sz w:val="20"/>
        </w:rPr>
        <w:t xml:space="preserve">” </w:t>
      </w:r>
      <w:r>
        <w:rPr>
          <w:rFonts w:ascii="Times New Roman" w:hAnsi="Times New Roman"/>
          <w:color w:val="000000"/>
          <w:sz w:val="22"/>
        </w:rPr>
        <w:t xml:space="preserve">shall mean an Event of Default arising under </w:t>
      </w:r>
      <w:r>
        <w:rPr>
          <w:rFonts w:ascii="Times New Roman" w:hAnsi="Times New Roman"/>
          <w:color w:val="000000"/>
          <w:sz w:val="22"/>
          <w:u w:val="single"/>
        </w:rPr>
        <w:t>Sections 8.1(a)</w:t>
      </w:r>
      <w:r>
        <w:rPr>
          <w:rFonts w:ascii="Times New Roman" w:hAnsi="Times New Roman"/>
          <w:color w:val="000000"/>
          <w:sz w:val="22"/>
        </w:rPr>
        <w:t xml:space="preserve">, </w:t>
      </w:r>
      <w:r>
        <w:rPr>
          <w:rFonts w:ascii="Times New Roman" w:hAnsi="Times New Roman"/>
          <w:color w:val="000000"/>
          <w:sz w:val="22"/>
          <w:u w:val="single"/>
        </w:rPr>
        <w:t>8.1(b)</w:t>
      </w:r>
      <w:r>
        <w:rPr>
          <w:rFonts w:ascii="Times New Roman" w:hAnsi="Times New Roman"/>
          <w:color w:val="000000"/>
          <w:sz w:val="22"/>
        </w:rPr>
        <w:t xml:space="preserve">, </w:t>
      </w:r>
      <w:r>
        <w:rPr>
          <w:rFonts w:ascii="Times New Roman" w:hAnsi="Times New Roman"/>
          <w:color w:val="000000"/>
          <w:sz w:val="22"/>
          <w:u w:val="single"/>
        </w:rPr>
        <w:t>8.1(g)</w:t>
      </w:r>
      <w:r>
        <w:rPr>
          <w:rFonts w:ascii="Times New Roman" w:hAnsi="Times New Roman"/>
          <w:color w:val="000000"/>
          <w:sz w:val="22"/>
        </w:rPr>
        <w:t xml:space="preserve">, </w:t>
      </w:r>
      <w:r>
        <w:rPr>
          <w:rFonts w:ascii="Times New Roman" w:hAnsi="Times New Roman"/>
          <w:color w:val="000000"/>
          <w:sz w:val="22"/>
          <w:u w:val="single"/>
        </w:rPr>
        <w:t>8.1(h)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8.1(i)</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40" w:after="283"/>
        <w:jc w:val="both"/>
        <w:rPr/>
      </w:pPr>
      <w:bookmarkStart w:id="317" w:name="xspecified_loan_party__shall_mean_each_l"/>
      <w:bookmarkEnd w:id="317"/>
      <w:r>
        <w:rPr>
          <w:color w:val="000000"/>
        </w:rPr>
        <w:t>“</w:t>
      </w:r>
      <w:r>
        <w:rPr>
          <w:rFonts w:ascii="Times New Roman" w:hAnsi="Times New Roman"/>
          <w:color w:val="000000"/>
          <w:sz w:val="22"/>
          <w:u w:val="single"/>
        </w:rPr>
        <w:t>Specified Loan Party</w:t>
      </w:r>
      <w:r>
        <w:rPr>
          <w:rFonts w:ascii="Times New Roman" w:hAnsi="Times New Roman"/>
          <w:color w:val="000000"/>
          <w:sz w:val="20"/>
        </w:rPr>
        <w:t xml:space="preserve">” </w:t>
      </w:r>
      <w:r>
        <w:rPr>
          <w:rFonts w:ascii="Times New Roman" w:hAnsi="Times New Roman"/>
          <w:color w:val="000000"/>
          <w:sz w:val="22"/>
        </w:rPr>
        <w:t xml:space="preserve">shall mean each Loan Party that is, at the time on which the relevant Guarantee or grant of the relevant security interest under the Loan Documents by such Loan Party becomes effective with respect to a Swap Obligation, a corporation, partnership, proprietorship, organization, trust or other entity that would not be an “eligible contract participant” under the Commodity Exchange Act at such time but for the effect of </w:t>
      </w:r>
      <w:r>
        <w:rPr>
          <w:rFonts w:ascii="Times New Roman" w:hAnsi="Times New Roman"/>
          <w:color w:val="000000"/>
          <w:sz w:val="22"/>
          <w:u w:val="single"/>
        </w:rPr>
        <w:t>Section 10.8</w:t>
      </w:r>
      <w:r>
        <w:rPr>
          <w:rFonts w:ascii="Times New Roman" w:hAnsi="Times New Roman"/>
          <w:color w:val="000000"/>
          <w:sz w:val="22"/>
        </w:rPr>
        <w:t>.</w:t>
      </w:r>
    </w:p>
    <w:p>
      <w:pPr>
        <w:pStyle w:val="TextBody"/>
        <w:bidi w:val="0"/>
        <w:spacing w:before="240" w:after="283"/>
        <w:jc w:val="both"/>
        <w:rPr/>
      </w:pPr>
      <w:bookmarkStart w:id="318" w:name="xspecified_representations__shall_mean__"/>
      <w:bookmarkEnd w:id="318"/>
      <w:r>
        <w:rPr>
          <w:color w:val="000000"/>
        </w:rPr>
        <w:t>“</w:t>
      </w:r>
      <w:r>
        <w:rPr>
          <w:rFonts w:ascii="Times New Roman" w:hAnsi="Times New Roman"/>
          <w:color w:val="000000"/>
          <w:sz w:val="22"/>
          <w:u w:val="single"/>
        </w:rPr>
        <w:t>Specified Representations</w:t>
      </w:r>
      <w:r>
        <w:rPr>
          <w:rFonts w:ascii="Times New Roman" w:hAnsi="Times New Roman"/>
          <w:color w:val="000000"/>
          <w:sz w:val="20"/>
        </w:rPr>
        <w:t xml:space="preserve">” </w:t>
      </w:r>
      <w:r>
        <w:rPr>
          <w:rFonts w:ascii="Times New Roman" w:hAnsi="Times New Roman"/>
          <w:color w:val="000000"/>
          <w:sz w:val="22"/>
        </w:rPr>
        <w:t xml:space="preserve">shall mean, in connection with a Limited Condition Transaction, (a) the representations and warranties made by or on behalf of the target of such Limited Condition Transaction, its subsidiaries or their respective businesses in the applicable acquisition agreement which are material to the interest of the Lenders, but only to the extent that the applicable Loan Party or Subsidiary has the right to terminate its obligations under such acquisition agreement or to decline to consummate such Limited Condition Transaction as a result of a breach of such representations and warranties, and (b) the representations and warranties of the Loan Parties set forth in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 xml:space="preserve">(with respect to the Borrower and the Guarantors), </w:t>
      </w: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2"/>
        </w:rPr>
        <w:t xml:space="preserve">(with respect to the entering into, borrowing under, guaranteeing under, and performance of the Loan Documents and the granting of Liens in the Collateral), </w:t>
      </w:r>
      <w:r>
        <w:rPr>
          <w:rFonts w:ascii="Times New Roman" w:hAnsi="Times New Roman"/>
          <w:color w:val="000000"/>
          <w:sz w:val="22"/>
          <w:u w:val="single"/>
        </w:rPr>
        <w:t>Section 4.3(b)</w:t>
      </w:r>
      <w:r>
        <w:rPr>
          <w:rFonts w:ascii="Times New Roman" w:hAnsi="Times New Roman"/>
          <w:color w:val="000000"/>
          <w:sz w:val="20"/>
        </w:rPr>
        <w:t xml:space="preserve"> </w:t>
      </w:r>
      <w:r>
        <w:rPr>
          <w:rFonts w:ascii="Times New Roman" w:hAnsi="Times New Roman"/>
          <w:color w:val="000000"/>
          <w:sz w:val="22"/>
        </w:rPr>
        <w:t xml:space="preserve">(with respect to the entering into, borrowing under, guaranteeing under, and performance of the Loan Documents and the granting of Liens in the Collateral), </w:t>
      </w:r>
      <w:r>
        <w:rPr>
          <w:rFonts w:ascii="Times New Roman" w:hAnsi="Times New Roman"/>
          <w:color w:val="000000"/>
          <w:sz w:val="22"/>
          <w:u w:val="single"/>
        </w:rPr>
        <w:t>Section 4.8</w:t>
      </w:r>
      <w:r>
        <w:rPr>
          <w:rFonts w:ascii="Times New Roman" w:hAnsi="Times New Roman"/>
          <w:color w:val="000000"/>
          <w:sz w:val="22"/>
        </w:rPr>
        <w:t xml:space="preserve">,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4.10</w:t>
      </w:r>
      <w:r>
        <w:rPr>
          <w:rFonts w:ascii="Times New Roman" w:hAnsi="Times New Roman"/>
          <w:color w:val="000000"/>
          <w:sz w:val="22"/>
        </w:rPr>
        <w:t xml:space="preserve">, </w:t>
      </w:r>
      <w:r>
        <w:rPr>
          <w:rFonts w:ascii="Times New Roman" w:hAnsi="Times New Roman"/>
          <w:color w:val="000000"/>
          <w:sz w:val="22"/>
          <w:u w:val="single"/>
        </w:rPr>
        <w:t>Section 4.13(b)</w:t>
      </w:r>
      <w:r>
        <w:rPr>
          <w:rFonts w:ascii="Times New Roman" w:hAnsi="Times New Roman"/>
          <w:color w:val="000000"/>
          <w:sz w:val="22"/>
        </w:rPr>
        <w:t xml:space="preserve">, </w:t>
      </w:r>
      <w:r>
        <w:rPr>
          <w:rFonts w:ascii="Times New Roman" w:hAnsi="Times New Roman"/>
          <w:color w:val="000000"/>
          <w:sz w:val="22"/>
          <w:u w:val="single"/>
        </w:rPr>
        <w:t>Section 4.16</w:t>
      </w:r>
      <w:r>
        <w:rPr>
          <w:rFonts w:ascii="Times New Roman" w:hAnsi="Times New Roman"/>
          <w:color w:val="000000"/>
          <w:sz w:val="22"/>
        </w:rPr>
        <w:t xml:space="preserve">, </w:t>
      </w:r>
      <w:r>
        <w:rPr>
          <w:rFonts w:ascii="Times New Roman" w:hAnsi="Times New Roman"/>
          <w:color w:val="000000"/>
          <w:sz w:val="22"/>
          <w:u w:val="single"/>
        </w:rPr>
        <w:t>Section 4.18</w:t>
      </w:r>
      <w:r>
        <w:rPr>
          <w:rFonts w:ascii="Times New Roman" w:hAnsi="Times New Roman"/>
          <w:color w:val="000000"/>
          <w:sz w:val="22"/>
        </w:rPr>
        <w:t xml:space="preserve">, </w:t>
      </w:r>
      <w:r>
        <w:rPr>
          <w:rFonts w:ascii="Times New Roman" w:hAnsi="Times New Roman"/>
          <w:color w:val="000000"/>
          <w:sz w:val="22"/>
          <w:u w:val="single"/>
        </w:rPr>
        <w:t>Section 4.20</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4.22</w:t>
      </w:r>
      <w:r>
        <w:rPr>
          <w:rFonts w:ascii="Times New Roman" w:hAnsi="Times New Roman"/>
          <w:color w:val="000000"/>
          <w:sz w:val="22"/>
        </w:rPr>
        <w:t>.</w:t>
      </w:r>
    </w:p>
    <w:p>
      <w:pPr>
        <w:pStyle w:val="TextBody"/>
        <w:bidi w:val="0"/>
        <w:spacing w:before="240" w:after="283"/>
        <w:jc w:val="both"/>
        <w:rPr/>
      </w:pPr>
      <w:bookmarkStart w:id="319" w:name="xsubordinated_debt_documents__shall_mean"/>
      <w:bookmarkEnd w:id="319"/>
      <w:r>
        <w:rPr>
          <w:color w:val="000000"/>
        </w:rPr>
        <w:t>“</w:t>
      </w:r>
      <w:r>
        <w:rPr>
          <w:rFonts w:ascii="Times New Roman" w:hAnsi="Times New Roman"/>
          <w:color w:val="000000"/>
          <w:sz w:val="22"/>
          <w:u w:val="single"/>
        </w:rPr>
        <w:t>Subordinated Debt Documents</w:t>
      </w:r>
      <w:r>
        <w:rPr>
          <w:rFonts w:ascii="Times New Roman" w:hAnsi="Times New Roman"/>
          <w:color w:val="000000"/>
          <w:sz w:val="20"/>
        </w:rPr>
        <w:t xml:space="preserve">” </w:t>
      </w:r>
      <w:r>
        <w:rPr>
          <w:rFonts w:ascii="Times New Roman" w:hAnsi="Times New Roman"/>
          <w:color w:val="000000"/>
          <w:sz w:val="22"/>
        </w:rPr>
        <w:t>shall mean all indentures, agreements, notes, guaranties, subordination agreements and other material agreements governing or evidencing any Permitted Subordinated Indebtedness and all other material documents relating thereto.</w:t>
      </w:r>
    </w:p>
    <w:p>
      <w:pPr>
        <w:pStyle w:val="TextBody"/>
        <w:bidi w:val="0"/>
        <w:spacing w:before="240" w:after="283"/>
        <w:jc w:val="both"/>
        <w:rPr/>
      </w:pPr>
      <w:bookmarkStart w:id="320" w:name="xsubsidiary__shall_mean__with_respect_to"/>
      <w:bookmarkEnd w:id="320"/>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shall mean, with respect to any Person (the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Unless otherwise indicated, all references to “Subsidiary” hereunder shall mean a Subsidiary of Holdings.</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321" w:name="xswap_obligations__shall_mean_with_respe"/>
      <w:bookmarkEnd w:id="321"/>
      <w:r>
        <w:rPr>
          <w:color w:val="000000"/>
        </w:rPr>
        <w:t>“</w:t>
      </w:r>
      <w:r>
        <w:rPr>
          <w:rFonts w:ascii="Times New Roman" w:hAnsi="Times New Roman"/>
          <w:color w:val="000000"/>
          <w:sz w:val="22"/>
          <w:u w:val="single"/>
        </w:rPr>
        <w:t>Swap Obligations</w:t>
      </w:r>
      <w:r>
        <w:rPr>
          <w:rFonts w:ascii="Times New Roman" w:hAnsi="Times New Roman"/>
          <w:color w:val="000000"/>
          <w:sz w:val="20"/>
        </w:rPr>
        <w:t xml:space="preserve">” </w:t>
      </w:r>
      <w:r>
        <w:rPr>
          <w:rFonts w:ascii="Times New Roman" w:hAnsi="Times New Roman"/>
          <w:color w:val="000000"/>
          <w:sz w:val="22"/>
        </w:rPr>
        <w:t>shall mean with respect to any Guarantor any obligation to pay or perform under any agreement, contract or transaction that constitutes a “swap” within the meaning of Section 1a(47) of the Commodity Exchange Act.</w:t>
      </w:r>
    </w:p>
    <w:p>
      <w:pPr>
        <w:pStyle w:val="TextBody"/>
        <w:bidi w:val="0"/>
        <w:spacing w:before="240" w:after="283"/>
        <w:jc w:val="both"/>
        <w:rPr/>
      </w:pPr>
      <w:bookmarkStart w:id="322" w:name="xswingline_commitment__shall_mean__on_an"/>
      <w:bookmarkEnd w:id="322"/>
      <w:r>
        <w:rPr>
          <w:color w:val="000000"/>
        </w:rPr>
        <w:t>“</w:t>
      </w:r>
      <w:r>
        <w:rPr>
          <w:rFonts w:ascii="Times New Roman" w:hAnsi="Times New Roman"/>
          <w:color w:val="000000"/>
          <w:sz w:val="22"/>
          <w:u w:val="single"/>
        </w:rPr>
        <w:t>Swingline Commitment</w:t>
      </w:r>
      <w:r>
        <w:rPr>
          <w:rFonts w:ascii="Times New Roman" w:hAnsi="Times New Roman"/>
          <w:color w:val="000000"/>
          <w:sz w:val="20"/>
        </w:rPr>
        <w:t xml:space="preserve">” </w:t>
      </w:r>
      <w:r>
        <w:rPr>
          <w:rFonts w:ascii="Times New Roman" w:hAnsi="Times New Roman"/>
          <w:color w:val="000000"/>
          <w:sz w:val="22"/>
        </w:rPr>
        <w:t>shall mean, on any date, the commitment of the Swingline Lender on such date to make Swingline Loans in an aggregate principal amount at any time outstanding not to exceed $5,000,000.</w:t>
      </w:r>
    </w:p>
    <w:p>
      <w:pPr>
        <w:pStyle w:val="TextBody"/>
        <w:bidi w:val="0"/>
        <w:spacing w:before="240" w:after="283"/>
        <w:jc w:val="both"/>
        <w:rPr/>
      </w:pPr>
      <w:bookmarkStart w:id="323" w:name="xswingline_exposure__shall_mean__with_re"/>
      <w:bookmarkEnd w:id="323"/>
      <w:r>
        <w:rPr>
          <w:color w:val="000000"/>
        </w:rPr>
        <w:t>“</w:t>
      </w:r>
      <w:r>
        <w:rPr>
          <w:rFonts w:ascii="Times New Roman" w:hAnsi="Times New Roman"/>
          <w:color w:val="000000"/>
          <w:sz w:val="22"/>
          <w:u w:val="single"/>
        </w:rPr>
        <w:t>Swingline Exposure</w:t>
      </w:r>
      <w:r>
        <w:rPr>
          <w:rFonts w:ascii="Times New Roman" w:hAnsi="Times New Roman"/>
          <w:color w:val="000000"/>
          <w:sz w:val="20"/>
        </w:rPr>
        <w:t xml:space="preserve">” </w:t>
      </w:r>
      <w:r>
        <w:rPr>
          <w:rFonts w:ascii="Times New Roman" w:hAnsi="Times New Roman"/>
          <w:color w:val="000000"/>
          <w:sz w:val="22"/>
        </w:rPr>
        <w:t xml:space="preserve">shall mean, with respect to each Lender, the principal amount of the Swingline Loans in which such Lender is legally obligated either to make a Base Rate Loan or to purchase a participation in accordance with </w:t>
      </w:r>
      <w:r>
        <w:rPr>
          <w:rFonts w:ascii="Times New Roman" w:hAnsi="Times New Roman"/>
          <w:color w:val="000000"/>
          <w:sz w:val="22"/>
          <w:u w:val="single"/>
        </w:rPr>
        <w:t>Section 2.4</w:t>
      </w:r>
      <w:r>
        <w:rPr>
          <w:rFonts w:ascii="Times New Roman" w:hAnsi="Times New Roman"/>
          <w:color w:val="000000"/>
          <w:sz w:val="22"/>
        </w:rPr>
        <w:t>, which shall equal such Lender’s Pro Rata Share of all outstanding Swingline Loans.</w:t>
      </w:r>
    </w:p>
    <w:p>
      <w:pPr>
        <w:pStyle w:val="TextBody"/>
        <w:bidi w:val="0"/>
        <w:spacing w:before="240" w:after="283"/>
        <w:jc w:val="both"/>
        <w:rPr/>
      </w:pPr>
      <w:bookmarkStart w:id="324" w:name="xswingline_lender__shall_mean_truist_ban"/>
      <w:bookmarkEnd w:id="324"/>
      <w:r>
        <w:rPr>
          <w:color w:val="000000"/>
        </w:rPr>
        <w:t>“</w:t>
      </w:r>
      <w:r>
        <w:rPr>
          <w:rFonts w:ascii="Times New Roman" w:hAnsi="Times New Roman"/>
          <w:color w:val="000000"/>
          <w:sz w:val="22"/>
          <w:u w:val="single"/>
        </w:rPr>
        <w:t>Swingline Lender</w:t>
      </w:r>
      <w:r>
        <w:rPr>
          <w:rFonts w:ascii="Times New Roman" w:hAnsi="Times New Roman"/>
          <w:color w:val="000000"/>
          <w:sz w:val="20"/>
        </w:rPr>
        <w:t xml:space="preserve">” </w:t>
      </w:r>
      <w:r>
        <w:rPr>
          <w:rFonts w:ascii="Times New Roman" w:hAnsi="Times New Roman"/>
          <w:color w:val="000000"/>
          <w:sz w:val="22"/>
        </w:rPr>
        <w:t>shall mean Truist Bank in its capacity as provider of Swingline Loans, or any successor swingline lender hereunder.</w:t>
      </w:r>
    </w:p>
    <w:p>
      <w:pPr>
        <w:pStyle w:val="TextBody"/>
        <w:bidi w:val="0"/>
        <w:spacing w:before="240" w:after="283"/>
        <w:jc w:val="both"/>
        <w:rPr/>
      </w:pPr>
      <w:bookmarkStart w:id="325" w:name="xswingline_loan__shall_mean_a_loan_made_"/>
      <w:bookmarkEnd w:id="325"/>
      <w:r>
        <w:rPr>
          <w:color w:val="000000"/>
        </w:rPr>
        <w:t>“</w:t>
      </w:r>
      <w:r>
        <w:rPr>
          <w:rFonts w:ascii="Times New Roman" w:hAnsi="Times New Roman"/>
          <w:color w:val="000000"/>
          <w:sz w:val="22"/>
          <w:u w:val="single"/>
        </w:rPr>
        <w:t>Swingline Loan</w:t>
      </w:r>
      <w:r>
        <w:rPr>
          <w:rFonts w:ascii="Times New Roman" w:hAnsi="Times New Roman"/>
          <w:color w:val="000000"/>
          <w:sz w:val="20"/>
        </w:rPr>
        <w:t xml:space="preserve">” </w:t>
      </w:r>
      <w:r>
        <w:rPr>
          <w:rFonts w:ascii="Times New Roman" w:hAnsi="Times New Roman"/>
          <w:color w:val="000000"/>
          <w:sz w:val="22"/>
        </w:rPr>
        <w:t>shall mean a loan made to the Borrower by the Swingline Lender under the Swingline Commitment.</w:t>
      </w:r>
    </w:p>
    <w:p>
      <w:pPr>
        <w:pStyle w:val="TextBody"/>
        <w:bidi w:val="0"/>
        <w:spacing w:before="240" w:after="283"/>
        <w:jc w:val="both"/>
        <w:rPr/>
      </w:pPr>
      <w:bookmarkStart w:id="326" w:name="xsynthetic_lease__shall_mean_a_lease_tra"/>
      <w:bookmarkEnd w:id="326"/>
      <w:r>
        <w:rPr>
          <w:color w:val="000000"/>
        </w:rPr>
        <w:t>“</w:t>
      </w:r>
      <w:r>
        <w:rPr>
          <w:rFonts w:ascii="Times New Roman" w:hAnsi="Times New Roman"/>
          <w:color w:val="000000"/>
          <w:sz w:val="22"/>
          <w:u w:val="single"/>
        </w:rPr>
        <w:t>Synthetic Lease</w:t>
      </w:r>
      <w:r>
        <w:rPr>
          <w:rFonts w:ascii="Times New Roman" w:hAnsi="Times New Roman"/>
          <w:color w:val="000000"/>
          <w:sz w:val="20"/>
        </w:rPr>
        <w:t xml:space="preserve">” </w:t>
      </w:r>
      <w:r>
        <w:rPr>
          <w:rFonts w:ascii="Times New Roman" w:hAnsi="Times New Roman"/>
          <w:color w:val="000000"/>
          <w:sz w:val="22"/>
        </w:rPr>
        <w:t>shall mean a lease transaction under which the parties intend that (i) the lease will be treated as an “operating lease” by the lessee pursuant to Accounting Standards Codification Sections 840-10 and 840-20 and (ii) the lessee will be entitled to various tax and other benefits ordinarily available to owners (as opposed to lessees) of like property.</w:t>
      </w:r>
    </w:p>
    <w:p>
      <w:pPr>
        <w:pStyle w:val="TextBody"/>
        <w:bidi w:val="0"/>
        <w:spacing w:before="240" w:after="283"/>
        <w:jc w:val="both"/>
        <w:rPr/>
      </w:pPr>
      <w:bookmarkStart w:id="327" w:name="xsynthetic_lease_obligations__shall_mean"/>
      <w:bookmarkEnd w:id="327"/>
      <w:r>
        <w:rPr>
          <w:color w:val="000000"/>
        </w:rPr>
        <w:t>“</w:t>
      </w:r>
      <w:r>
        <w:rPr>
          <w:rFonts w:ascii="Times New Roman" w:hAnsi="Times New Roman"/>
          <w:color w:val="000000"/>
          <w:sz w:val="22"/>
          <w:u w:val="single"/>
        </w:rPr>
        <w:t>Synthetic Lease Obligations</w:t>
      </w:r>
      <w:r>
        <w:rPr>
          <w:rFonts w:ascii="Times New Roman" w:hAnsi="Times New Roman"/>
          <w:color w:val="000000"/>
          <w:sz w:val="20"/>
        </w:rPr>
        <w:t xml:space="preserve">” </w:t>
      </w:r>
      <w:r>
        <w:rPr>
          <w:rFonts w:ascii="Times New Roman" w:hAnsi="Times New Roman"/>
          <w:color w:val="000000"/>
          <w:sz w:val="22"/>
        </w:rPr>
        <w:t>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pStyle w:val="TextBody"/>
        <w:bidi w:val="0"/>
        <w:spacing w:before="240" w:after="283"/>
        <w:jc w:val="both"/>
        <w:rPr/>
      </w:pPr>
      <w:bookmarkStart w:id="328" w:name="xtaxes__shall_mean_any_and_all_present_o"/>
      <w:bookmarkEnd w:id="328"/>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shall mean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40" w:after="283"/>
        <w:jc w:val="both"/>
        <w:rPr/>
      </w:pPr>
      <w:bookmarkStart w:id="329" w:name="xterm_loan_a__shall_have_the_meaning_set"/>
      <w:bookmarkEnd w:id="329"/>
      <w:r>
        <w:rPr>
          <w:color w:val="000000"/>
        </w:rPr>
        <w:t>“</w:t>
      </w:r>
      <w:r>
        <w:rPr>
          <w:rFonts w:ascii="Times New Roman" w:hAnsi="Times New Roman"/>
          <w:color w:val="000000"/>
          <w:sz w:val="22"/>
          <w:u w:val="single"/>
        </w:rPr>
        <w:t>Term Loan A</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240" w:after="283"/>
        <w:jc w:val="both"/>
        <w:rPr/>
      </w:pPr>
      <w:bookmarkStart w:id="330" w:name="xterm_loan_a_commitment__shall_mean__wit"/>
      <w:bookmarkEnd w:id="330"/>
      <w:r>
        <w:rPr>
          <w:color w:val="000000"/>
        </w:rPr>
        <w:t>“</w:t>
      </w:r>
      <w:r>
        <w:rPr>
          <w:rFonts w:ascii="Times New Roman" w:hAnsi="Times New Roman"/>
          <w:color w:val="000000"/>
          <w:sz w:val="22"/>
          <w:u w:val="single"/>
        </w:rPr>
        <w:t>Term Loan A Commitment</w:t>
      </w:r>
      <w:r>
        <w:rPr>
          <w:rFonts w:ascii="Times New Roman" w:hAnsi="Times New Roman"/>
          <w:color w:val="000000"/>
          <w:sz w:val="20"/>
        </w:rPr>
        <w:t xml:space="preserve">” </w:t>
      </w:r>
      <w:r>
        <w:rPr>
          <w:rFonts w:ascii="Times New Roman" w:hAnsi="Times New Roman"/>
          <w:color w:val="000000"/>
          <w:sz w:val="22"/>
        </w:rPr>
        <w:t xml:space="preserve">shall mean, with respect to each Lender, the obligation of such Lender to make its portion of the Term Loan A hereunder in one advance on the Closing Date, in a principal amount not exceeding the amount set forth with respect to such Lender on </w:t>
      </w:r>
      <w:r>
        <w:rPr>
          <w:rFonts w:ascii="Times New Roman" w:hAnsi="Times New Roman"/>
          <w:color w:val="000000"/>
          <w:sz w:val="22"/>
          <w:u w:val="single"/>
        </w:rPr>
        <w:t>Schedule I</w:t>
      </w:r>
      <w:r>
        <w:rPr>
          <w:rFonts w:ascii="Times New Roman" w:hAnsi="Times New Roman"/>
          <w:color w:val="000000"/>
          <w:sz w:val="22"/>
        </w:rPr>
        <w:t>. The aggregate principal amount of all Lenders’ Term Loan A Commitments as of the Closing Date is $125,000,000.</w:t>
      </w:r>
    </w:p>
    <w:p>
      <w:pPr>
        <w:pStyle w:val="TextBody"/>
        <w:bidi w:val="0"/>
        <w:spacing w:before="240" w:after="283"/>
        <w:jc w:val="both"/>
        <w:rPr/>
      </w:pPr>
      <w:bookmarkStart w:id="331" w:name="xterm_loan_commitments__shall_mean_the_t"/>
      <w:bookmarkEnd w:id="331"/>
      <w:r>
        <w:rPr>
          <w:color w:val="000000"/>
        </w:rPr>
        <w:t>“</w:t>
      </w:r>
      <w:r>
        <w:rPr>
          <w:rFonts w:ascii="Times New Roman" w:hAnsi="Times New Roman"/>
          <w:color w:val="000000"/>
          <w:sz w:val="22"/>
          <w:u w:val="single"/>
        </w:rPr>
        <w:t>Term Loan Commitments</w:t>
      </w:r>
      <w:r>
        <w:rPr>
          <w:rFonts w:ascii="Times New Roman" w:hAnsi="Times New Roman"/>
          <w:color w:val="000000"/>
          <w:sz w:val="20"/>
        </w:rPr>
        <w:t xml:space="preserve">” </w:t>
      </w:r>
      <w:r>
        <w:rPr>
          <w:rFonts w:ascii="Times New Roman" w:hAnsi="Times New Roman"/>
          <w:color w:val="000000"/>
          <w:sz w:val="22"/>
        </w:rPr>
        <w:t>shall mean the Term Loan A Commitments and the Incremental Term Loan Commitments.</w:t>
      </w:r>
    </w:p>
    <w:p>
      <w:pPr>
        <w:pStyle w:val="TextBody"/>
        <w:bidi w:val="0"/>
        <w:spacing w:before="240" w:after="283"/>
        <w:jc w:val="both"/>
        <w:rPr/>
      </w:pPr>
      <w:bookmarkStart w:id="332" w:name="xterm_loans__shall_mean_the_term_loan_a_"/>
      <w:bookmarkEnd w:id="332"/>
      <w:r>
        <w:rPr>
          <w:color w:val="000000"/>
        </w:rPr>
        <w:t>“</w:t>
      </w:r>
      <w:r>
        <w:rPr>
          <w:rFonts w:ascii="Times New Roman" w:hAnsi="Times New Roman"/>
          <w:color w:val="000000"/>
          <w:sz w:val="22"/>
          <w:u w:val="single"/>
        </w:rPr>
        <w:t>Term Loans</w:t>
      </w:r>
      <w:r>
        <w:rPr>
          <w:rFonts w:ascii="Times New Roman" w:hAnsi="Times New Roman"/>
          <w:color w:val="000000"/>
          <w:sz w:val="20"/>
        </w:rPr>
        <w:t xml:space="preserve">” </w:t>
      </w:r>
      <w:r>
        <w:rPr>
          <w:rFonts w:ascii="Times New Roman" w:hAnsi="Times New Roman"/>
          <w:color w:val="000000"/>
          <w:sz w:val="22"/>
        </w:rPr>
        <w:t>shall mean the Term Loan A and each Incremental Term Loan, if any.</w:t>
      </w:r>
    </w:p>
    <w:p>
      <w:pPr>
        <w:pStyle w:val="TextBody"/>
        <w:bidi w:val="0"/>
        <w:spacing w:before="240" w:after="283"/>
        <w:jc w:val="both"/>
        <w:rPr/>
      </w:pPr>
      <w:bookmarkStart w:id="333" w:name="xterm_sofr__shall_mean_"/>
      <w:bookmarkEnd w:id="333"/>
      <w:r>
        <w:rPr>
          <w:color w:val="000000"/>
        </w:rPr>
        <w:t>“</w:t>
      </w:r>
      <w:r>
        <w:rPr>
          <w:rFonts w:ascii="Times New Roman" w:hAnsi="Times New Roman"/>
          <w:color w:val="000000"/>
          <w:sz w:val="22"/>
          <w:u w:val="single"/>
        </w:rPr>
        <w:t>Term SOFR</w:t>
      </w:r>
      <w:r>
        <w:rPr>
          <w:rFonts w:ascii="Times New Roman" w:hAnsi="Times New Roman"/>
          <w:color w:val="000000"/>
          <w:sz w:val="20"/>
        </w:rPr>
        <w:t xml:space="preserve">” </w:t>
      </w:r>
      <w:r>
        <w:rPr>
          <w:rFonts w:ascii="Times New Roman" w:hAnsi="Times New Roman"/>
          <w:color w:val="000000"/>
          <w:sz w:val="22"/>
        </w:rPr>
        <w:t>shall mean,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for any calculation with respect to a SOFR Loan, the Term SOFR Reference Rate for a tenor comparable to the applicable Interest Period on the day (such day, the “</w:t>
      </w:r>
      <w:r>
        <w:rPr>
          <w:rFonts w:ascii="Times New Roman" w:hAnsi="Times New Roman"/>
          <w:color w:val="000000"/>
          <w:sz w:val="22"/>
          <w:u w:val="single"/>
        </w:rPr>
        <w:t>Periodic Term</w:t>
      </w:r>
      <w:r>
        <w:rPr>
          <w:color w:val="000000"/>
        </w:rPr>
        <w:t xml:space="preserve"> </w:t>
      </w:r>
      <w:r>
        <w:rPr>
          <w:rFonts w:ascii="Times New Roman" w:hAnsi="Times New Roman"/>
          <w:color w:val="000000"/>
          <w:sz w:val="22"/>
          <w:u w:val="single"/>
        </w:rPr>
        <w:t>SOFR Determination Day</w:t>
      </w:r>
      <w:r>
        <w:rPr>
          <w:color w:val="000000"/>
        </w:rPr>
        <w:t>”</w:t>
      </w:r>
      <w:r>
        <w:rPr>
          <w:rFonts w:ascii="Times New Roman" w:hAnsi="Times New Roman"/>
          <w:color w:val="000000"/>
          <w:sz w:val="22"/>
        </w:rPr>
        <w:t xml:space="preserve">) that is two (2) U.S. Government Securities Business Days prior to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first day of such Interest Period, as such rate is published by the Term SOFR Administrator; </w:t>
      </w:r>
      <w:r>
        <w:rPr>
          <w:rFonts w:ascii="Times New Roman" w:hAnsi="Times New Roman"/>
          <w:color w:val="000000"/>
          <w:sz w:val="22"/>
          <w:u w:val="single"/>
        </w:rPr>
        <w:t>provided</w:t>
      </w:r>
      <w:r>
        <w:rPr>
          <w:rFonts w:ascii="Times New Roman" w:hAnsi="Times New Roman"/>
          <w:color w:val="000000"/>
          <w:sz w:val="22"/>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for any calculation with respect to a Base Rate Loan on any day, the Term SOFR Reference Rate for a tenor of one month on the day (such day, the “</w:t>
      </w:r>
      <w:r>
        <w:rPr>
          <w:rFonts w:ascii="Times New Roman" w:hAnsi="Times New Roman"/>
          <w:color w:val="000000"/>
          <w:sz w:val="22"/>
          <w:u w:val="single"/>
        </w:rPr>
        <w:t>Base Rate Term SOFR</w:t>
      </w:r>
      <w:r>
        <w:rPr>
          <w:color w:val="000000"/>
        </w:rPr>
        <w:t xml:space="preserve"> </w:t>
      </w:r>
      <w:r>
        <w:rPr>
          <w:rFonts w:ascii="Times New Roman" w:hAnsi="Times New Roman"/>
          <w:color w:val="000000"/>
          <w:sz w:val="22"/>
          <w:u w:val="single"/>
        </w:rPr>
        <w:t>Determination Day</w:t>
      </w:r>
      <w:r>
        <w:rPr>
          <w:color w:val="000000"/>
        </w:rPr>
        <w:t>”</w:t>
      </w:r>
      <w:r>
        <w:rPr>
          <w:rFonts w:ascii="Times New Roman" w:hAnsi="Times New Roman"/>
          <w:color w:val="000000"/>
          <w:sz w:val="22"/>
        </w:rPr>
        <w:t xml:space="preserve">) that is two (2) U.S. Government Securities Business Days prior to such day, as such rate is published by the Term SOFR Administrator;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that if Term SOFR determined as provided above (including pursuant to the proviso under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shall ever be less than the Floor, then Term SOFR shall be deemed to be the Floor.</w:t>
      </w:r>
    </w:p>
    <w:p>
      <w:pPr>
        <w:pStyle w:val="TextBody"/>
        <w:bidi w:val="0"/>
        <w:spacing w:before="240" w:after="283"/>
        <w:jc w:val="both"/>
        <w:rPr/>
      </w:pPr>
      <w:bookmarkStart w:id="334" w:name="xterm_sofr_administrator__shall_mean_the"/>
      <w:bookmarkEnd w:id="334"/>
      <w:r>
        <w:rPr>
          <w:color w:val="000000"/>
        </w:rPr>
        <w:t>“</w:t>
      </w:r>
      <w:r>
        <w:rPr>
          <w:rFonts w:ascii="Times New Roman" w:hAnsi="Times New Roman"/>
          <w:color w:val="000000"/>
          <w:sz w:val="22"/>
          <w:u w:val="single"/>
        </w:rPr>
        <w:t>Term SOFR Administrator</w:t>
      </w:r>
      <w:r>
        <w:rPr>
          <w:rFonts w:ascii="Times New Roman" w:hAnsi="Times New Roman"/>
          <w:color w:val="000000"/>
          <w:sz w:val="20"/>
        </w:rPr>
        <w:t xml:space="preserve">” </w:t>
      </w:r>
      <w:r>
        <w:rPr>
          <w:rFonts w:ascii="Times New Roman" w:hAnsi="Times New Roman"/>
          <w:color w:val="000000"/>
          <w:sz w:val="22"/>
        </w:rPr>
        <w:t>shall mean the CME Group Benchmark Administration Limited (CBA) (or a successor administrator of the Term SOFR Reference Rate selected by the Administrative Agent in its reasonable discretion).</w:t>
      </w:r>
    </w:p>
    <w:p>
      <w:pPr>
        <w:pStyle w:val="TextBody"/>
        <w:bidi w:val="0"/>
        <w:spacing w:before="240" w:after="283"/>
        <w:jc w:val="both"/>
        <w:rPr/>
      </w:pPr>
      <w:bookmarkStart w:id="335" w:name="xterm_sofr_reference_rate__shall_mean_th"/>
      <w:bookmarkEnd w:id="335"/>
      <w:r>
        <w:rPr>
          <w:color w:val="000000"/>
        </w:rPr>
        <w:t>“</w:t>
      </w:r>
      <w:r>
        <w:rPr>
          <w:rFonts w:ascii="Times New Roman" w:hAnsi="Times New Roman"/>
          <w:color w:val="000000"/>
          <w:sz w:val="22"/>
          <w:u w:val="single"/>
        </w:rPr>
        <w:t>Term SOFR Reference Rate</w:t>
      </w:r>
      <w:r>
        <w:rPr>
          <w:rFonts w:ascii="Times New Roman" w:hAnsi="Times New Roman"/>
          <w:color w:val="000000"/>
          <w:sz w:val="20"/>
        </w:rPr>
        <w:t xml:space="preserve">” </w:t>
      </w:r>
      <w:r>
        <w:rPr>
          <w:rFonts w:ascii="Times New Roman" w:hAnsi="Times New Roman"/>
          <w:color w:val="000000"/>
          <w:sz w:val="22"/>
        </w:rPr>
        <w:t>shall mean the forward-looking term rate based on SOFR.</w:t>
      </w:r>
    </w:p>
    <w:p>
      <w:pPr>
        <w:pStyle w:val="TextBody"/>
        <w:bidi w:val="0"/>
        <w:spacing w:before="240" w:after="283"/>
        <w:jc w:val="both"/>
        <w:rPr/>
      </w:pPr>
      <w:bookmarkStart w:id="336" w:name="xthreshold_amount__shall_mean__6_000_000"/>
      <w:bookmarkEnd w:id="336"/>
      <w:r>
        <w:rPr>
          <w:color w:val="000000"/>
        </w:rPr>
        <w:t>“</w:t>
      </w:r>
      <w:r>
        <w:rPr>
          <w:rFonts w:ascii="Times New Roman" w:hAnsi="Times New Roman"/>
          <w:color w:val="000000"/>
          <w:sz w:val="22"/>
          <w:u w:val="single"/>
        </w:rPr>
        <w:t>Threshold Amount</w:t>
      </w:r>
      <w:r>
        <w:rPr>
          <w:rFonts w:ascii="Times New Roman" w:hAnsi="Times New Roman"/>
          <w:color w:val="000000"/>
          <w:sz w:val="20"/>
        </w:rPr>
        <w:t xml:space="preserve">” </w:t>
      </w:r>
      <w:r>
        <w:rPr>
          <w:rFonts w:ascii="Times New Roman" w:hAnsi="Times New Roman"/>
          <w:color w:val="000000"/>
          <w:sz w:val="22"/>
        </w:rPr>
        <w:t>shall mean $6,000,000.</w:t>
      </w:r>
    </w:p>
    <w:p>
      <w:pPr>
        <w:pStyle w:val="TextBody"/>
        <w:bidi w:val="0"/>
        <w:spacing w:before="240" w:after="283"/>
        <w:jc w:val="both"/>
        <w:rPr/>
      </w:pPr>
      <w:bookmarkStart w:id="337" w:name="xtrading_with_the_enemy_act__shall_mean_"/>
      <w:bookmarkEnd w:id="337"/>
      <w:r>
        <w:rPr>
          <w:color w:val="000000"/>
        </w:rPr>
        <w:t>“</w:t>
      </w:r>
      <w:r>
        <w:rPr>
          <w:rFonts w:ascii="Times New Roman" w:hAnsi="Times New Roman"/>
          <w:color w:val="000000"/>
          <w:sz w:val="22"/>
          <w:u w:val="single"/>
        </w:rPr>
        <w:t>Trading with the Enemy Act</w:t>
      </w:r>
      <w:r>
        <w:rPr>
          <w:rFonts w:ascii="Times New Roman" w:hAnsi="Times New Roman"/>
          <w:color w:val="000000"/>
          <w:sz w:val="20"/>
        </w:rPr>
        <w:t xml:space="preserve">” </w:t>
      </w:r>
      <w:r>
        <w:rPr>
          <w:rFonts w:ascii="Times New Roman" w:hAnsi="Times New Roman"/>
          <w:color w:val="000000"/>
          <w:sz w:val="22"/>
        </w:rPr>
        <w:t>shall mean the Trading with the Enemy Act of the United States of America (50 U.S.C. App. §§ 1 et seq.).</w:t>
      </w:r>
    </w:p>
    <w:p>
      <w:pPr>
        <w:pStyle w:val="TextBody"/>
        <w:bidi w:val="0"/>
        <w:spacing w:before="240" w:after="283"/>
        <w:jc w:val="both"/>
        <w:rPr/>
      </w:pPr>
      <w:bookmarkStart w:id="338" w:name="xtransaction_costs__shall_mean_any_fees_"/>
      <w:bookmarkEnd w:id="338"/>
      <w:r>
        <w:rPr>
          <w:color w:val="000000"/>
        </w:rPr>
        <w:t>“</w:t>
      </w:r>
      <w:r>
        <w:rPr>
          <w:rFonts w:ascii="Times New Roman" w:hAnsi="Times New Roman"/>
          <w:color w:val="000000"/>
          <w:sz w:val="22"/>
          <w:u w:val="single"/>
        </w:rPr>
        <w:t>Transaction Costs</w:t>
      </w:r>
      <w:r>
        <w:rPr>
          <w:rFonts w:ascii="Times New Roman" w:hAnsi="Times New Roman"/>
          <w:color w:val="000000"/>
          <w:sz w:val="20"/>
        </w:rPr>
        <w:t xml:space="preserve">” </w:t>
      </w:r>
      <w:r>
        <w:rPr>
          <w:rFonts w:ascii="Times New Roman" w:hAnsi="Times New Roman"/>
          <w:color w:val="000000"/>
          <w:sz w:val="22"/>
        </w:rPr>
        <w:t>shall mean any fees, costs or expenses incurred or paid by Holdings, the Borrower or any Subsidiary in connection with the Transactions, this Agreement and the other Loan Documents and the transactions contemplated hereby and thereby.</w:t>
      </w:r>
    </w:p>
    <w:p>
      <w:pPr>
        <w:pStyle w:val="TextBody"/>
        <w:bidi w:val="0"/>
        <w:spacing w:before="240" w:after="283"/>
        <w:jc w:val="both"/>
        <w:rPr/>
      </w:pPr>
      <w:bookmarkStart w:id="339" w:name="xtransactions__shall_mean__a__the_fundin"/>
      <w:bookmarkEnd w:id="339"/>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shall mean (a) the funding of the Loans on the Closing Date and the consummation of the other transactions contemplated by this Agreement, (b) the consummation of any other transactions in connection with the foregoing, and (c) the payment of the fees and expenses incurred in connection with any of the foregoing (including the Transaction Costs).</w:t>
      </w:r>
    </w:p>
    <w:p>
      <w:pPr>
        <w:pStyle w:val="TextBody"/>
        <w:bidi w:val="0"/>
        <w:spacing w:before="240" w:after="283"/>
        <w:jc w:val="both"/>
        <w:rPr/>
      </w:pPr>
      <w:bookmarkStart w:id="340" w:name="xtruist__shall_mean_truist_bank_and_its_"/>
      <w:bookmarkEnd w:id="340"/>
      <w:r>
        <w:rPr>
          <w:color w:val="000000"/>
        </w:rPr>
        <w:t>“</w:t>
      </w:r>
      <w:r>
        <w:rPr>
          <w:rFonts w:ascii="Times New Roman" w:hAnsi="Times New Roman"/>
          <w:color w:val="000000"/>
          <w:sz w:val="22"/>
          <w:u w:val="single"/>
        </w:rPr>
        <w:t>Truist</w:t>
      </w:r>
      <w:r>
        <w:rPr>
          <w:rFonts w:ascii="Times New Roman" w:hAnsi="Times New Roman"/>
          <w:color w:val="000000"/>
          <w:sz w:val="20"/>
        </w:rPr>
        <w:t xml:space="preserve">” </w:t>
      </w:r>
      <w:r>
        <w:rPr>
          <w:rFonts w:ascii="Times New Roman" w:hAnsi="Times New Roman"/>
          <w:color w:val="000000"/>
          <w:sz w:val="22"/>
        </w:rPr>
        <w:t>shall mean Truist Bank and its successors.</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bookmarkStart w:id="341" w:name="xtype___when_used_in_reference_to_a_loan"/>
      <w:bookmarkEnd w:id="341"/>
      <w:r>
        <w:rPr>
          <w:color w:val="000000"/>
        </w:rPr>
        <w:t>“</w:t>
      </w:r>
      <w:r>
        <w:rPr>
          <w:rFonts w:ascii="Times New Roman" w:hAnsi="Times New Roman"/>
          <w:color w:val="000000"/>
          <w:sz w:val="22"/>
          <w:u w:val="single"/>
        </w:rPr>
        <w:t>Type</w:t>
      </w:r>
      <w:r>
        <w:rPr>
          <w:rFonts w:ascii="Times New Roman" w:hAnsi="Times New Roman"/>
          <w:color w:val="000000"/>
          <w:sz w:val="20"/>
        </w:rPr>
        <w:t>”</w:t>
      </w:r>
      <w:r>
        <w:rPr>
          <w:rFonts w:ascii="Times New Roman" w:hAnsi="Times New Roman"/>
          <w:color w:val="000000"/>
          <w:sz w:val="22"/>
        </w:rPr>
        <w:t>, when used in reference to a Loan or Borrowing, refers to whether the rate of interest on such Loan, or on the Loans comprising such Borrowing, is determined by reference to the Term SOFR or the Base Rate.</w:t>
      </w:r>
    </w:p>
    <w:p>
      <w:pPr>
        <w:pStyle w:val="TextBody"/>
        <w:bidi w:val="0"/>
        <w:spacing w:before="240" w:after="283"/>
        <w:jc w:val="both"/>
        <w:rPr/>
      </w:pPr>
      <w:bookmarkStart w:id="342" w:name="xuk_financial_institution__shall_mean_an"/>
      <w:bookmarkEnd w:id="342"/>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283"/>
        <w:jc w:val="both"/>
        <w:rPr/>
      </w:pPr>
      <w:bookmarkStart w:id="343" w:name="xuk_resolution_authority__shall_mean_the"/>
      <w:bookmarkEnd w:id="343"/>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shall mean the Bank of England or any other public administrative authority having responsibility for the resolution of any UK Financial Institution.</w:t>
      </w:r>
    </w:p>
    <w:p>
      <w:pPr>
        <w:pStyle w:val="TextBody"/>
        <w:bidi w:val="0"/>
        <w:spacing w:before="240" w:after="283"/>
        <w:jc w:val="both"/>
        <w:rPr/>
      </w:pPr>
      <w:bookmarkStart w:id="344" w:name="xunadjusted_benchmark_replacement__shall"/>
      <w:bookmarkEnd w:id="344"/>
      <w:r>
        <w:rPr>
          <w:color w:val="000000"/>
        </w:rPr>
        <w:t>“</w:t>
      </w:r>
      <w:r>
        <w:rPr>
          <w:rFonts w:ascii="Times New Roman" w:hAnsi="Times New Roman"/>
          <w:color w:val="000000"/>
          <w:sz w:val="22"/>
          <w:u w:val="single"/>
        </w:rPr>
        <w:t>Unadjusted Benchmark Replacement</w:t>
      </w:r>
      <w:r>
        <w:rPr>
          <w:rFonts w:ascii="Times New Roman" w:hAnsi="Times New Roman"/>
          <w:color w:val="000000"/>
          <w:sz w:val="20"/>
        </w:rPr>
        <w:t xml:space="preserve">” </w:t>
      </w:r>
      <w:r>
        <w:rPr>
          <w:rFonts w:ascii="Times New Roman" w:hAnsi="Times New Roman"/>
          <w:color w:val="000000"/>
          <w:sz w:val="22"/>
        </w:rPr>
        <w:t>shall mean the Benchmark Replacement excluding the Benchmark Replacement Adjustment.</w:t>
      </w:r>
    </w:p>
    <w:p>
      <w:pPr>
        <w:pStyle w:val="TextBody"/>
        <w:bidi w:val="0"/>
        <w:spacing w:before="240" w:after="283"/>
        <w:jc w:val="both"/>
        <w:rPr/>
      </w:pPr>
      <w:bookmarkStart w:id="345" w:name="xunfunded_pension_liability__of_any_plan"/>
      <w:bookmarkEnd w:id="345"/>
      <w:r>
        <w:rPr>
          <w:color w:val="000000"/>
        </w:rPr>
        <w:t>“</w:t>
      </w:r>
      <w:r>
        <w:rPr>
          <w:rFonts w:ascii="Times New Roman" w:hAnsi="Times New Roman"/>
          <w:color w:val="000000"/>
          <w:sz w:val="22"/>
          <w:u w:val="single"/>
        </w:rPr>
        <w:t>Unfunded Pension Liability</w:t>
      </w:r>
      <w:r>
        <w:rPr>
          <w:rFonts w:ascii="Times New Roman" w:hAnsi="Times New Roman"/>
          <w:color w:val="000000"/>
          <w:sz w:val="20"/>
        </w:rPr>
        <w:t xml:space="preserve">” </w:t>
      </w:r>
      <w:r>
        <w:rPr>
          <w:rFonts w:ascii="Times New Roman" w:hAnsi="Times New Roman"/>
          <w:color w:val="000000"/>
          <w:sz w:val="22"/>
        </w:rPr>
        <w:t>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bidi w:val="0"/>
        <w:spacing w:before="240" w:after="283"/>
        <w:jc w:val="both"/>
        <w:rPr/>
      </w:pPr>
      <w:bookmarkStart w:id="346" w:name="xunited_states__or__u_s___shall_mean_the"/>
      <w:bookmarkEnd w:id="346"/>
      <w:r>
        <w:rPr>
          <w:color w:val="000000"/>
        </w:rPr>
        <w:t>“</w:t>
      </w:r>
      <w:r>
        <w:rPr>
          <w:rFonts w:ascii="Times New Roman" w:hAnsi="Times New Roman"/>
          <w:color w:val="000000"/>
          <w:sz w:val="22"/>
          <w:u w:val="single"/>
        </w:rPr>
        <w:t>United States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U.S.</w:t>
      </w:r>
      <w:r>
        <w:rPr>
          <w:rFonts w:ascii="Times New Roman" w:hAnsi="Times New Roman"/>
          <w:color w:val="000000"/>
          <w:sz w:val="20"/>
        </w:rPr>
        <w:t xml:space="preserve">” </w:t>
      </w:r>
      <w:r>
        <w:rPr>
          <w:rFonts w:ascii="Times New Roman" w:hAnsi="Times New Roman"/>
          <w:color w:val="000000"/>
          <w:sz w:val="22"/>
        </w:rPr>
        <w:t>shall mean the United States of America.</w:t>
      </w:r>
    </w:p>
    <w:p>
      <w:pPr>
        <w:pStyle w:val="TextBody"/>
        <w:bidi w:val="0"/>
        <w:spacing w:before="240" w:after="283"/>
        <w:jc w:val="both"/>
        <w:rPr/>
      </w:pPr>
      <w:bookmarkStart w:id="347" w:name="xunrestricted_cash__shall_mean__at_any_t"/>
      <w:bookmarkEnd w:id="347"/>
      <w:r>
        <w:rPr>
          <w:color w:val="000000"/>
        </w:rPr>
        <w:t>“</w:t>
      </w:r>
      <w:r>
        <w:rPr>
          <w:rFonts w:ascii="Times New Roman" w:hAnsi="Times New Roman"/>
          <w:color w:val="000000"/>
          <w:sz w:val="22"/>
          <w:u w:val="single"/>
        </w:rPr>
        <w:t>Unrestricted Cash</w:t>
      </w:r>
      <w:r>
        <w:rPr>
          <w:rFonts w:ascii="Times New Roman" w:hAnsi="Times New Roman"/>
          <w:color w:val="000000"/>
          <w:sz w:val="20"/>
        </w:rPr>
        <w:t xml:space="preserve">” </w:t>
      </w:r>
      <w:r>
        <w:rPr>
          <w:rFonts w:ascii="Times New Roman" w:hAnsi="Times New Roman"/>
          <w:color w:val="000000"/>
          <w:sz w:val="22"/>
        </w:rPr>
        <w:t>shall mean, at any time, cash and Cash Equivalents maintained in deposit accounts that are not Restricted at such time.</w:t>
      </w:r>
    </w:p>
    <w:p>
      <w:pPr>
        <w:pStyle w:val="TextBody"/>
        <w:bidi w:val="0"/>
        <w:spacing w:before="240" w:after="283"/>
        <w:jc w:val="both"/>
        <w:rPr/>
      </w:pPr>
      <w:bookmarkStart w:id="348" w:name="xu_s__government_securities_business_day"/>
      <w:bookmarkEnd w:id="348"/>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 xml:space="preserve">” </w:t>
      </w:r>
      <w:r>
        <w:rPr>
          <w:rFonts w:ascii="Times New Roman" w:hAnsi="Times New Roman"/>
          <w:color w:val="000000"/>
          <w:sz w:val="22"/>
        </w:rPr>
        <w:t>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40" w:after="283"/>
        <w:jc w:val="both"/>
        <w:rPr/>
      </w:pPr>
      <w:bookmarkStart w:id="349" w:name="xu_s__person__shall_mean__a__for_purpose"/>
      <w:bookmarkEnd w:id="349"/>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 xml:space="preserve">shall mean (a) for purposes of </w:t>
      </w:r>
      <w:r>
        <w:rPr>
          <w:rFonts w:ascii="Times New Roman" w:hAnsi="Times New Roman"/>
          <w:color w:val="000000"/>
          <w:sz w:val="22"/>
          <w:u w:val="single"/>
        </w:rPr>
        <w:t>Sections 4.23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7.20</w:t>
      </w:r>
      <w:r>
        <w:rPr>
          <w:rFonts w:ascii="Times New Roman" w:hAnsi="Times New Roman"/>
          <w:color w:val="000000"/>
          <w:sz w:val="22"/>
        </w:rPr>
        <w:t>, any United States citizen, lawful permanent resident, entity organized under the laws of the United States or any jurisdiction within the United States, including any foreign branch of any such entity, or any Person in the United States and (b) otherwise, any Person that is a “United States person” as defined in Section 7701(a)(30) of the Code.</w:t>
      </w:r>
      <w:bookmarkStart w:id="350" w:name="xu_s__tax_compliance_certificate__shall_"/>
      <w:bookmarkEnd w:id="350"/>
    </w:p>
    <w:p>
      <w:pPr>
        <w:pStyle w:val="TextBody"/>
        <w:bidi w:val="0"/>
        <w:spacing w:before="240" w:after="283"/>
        <w:jc w:val="both"/>
        <w:rPr/>
      </w:pPr>
      <w:r>
        <w:rPr>
          <w:color w:val="000000"/>
        </w:rPr>
        <w:t>“</w:t>
      </w:r>
      <w:r>
        <w:rPr>
          <w:rFonts w:ascii="Times New Roman" w:hAnsi="Times New Roman"/>
          <w:color w:val="000000"/>
          <w:sz w:val="22"/>
          <w:u w:val="single"/>
        </w:rPr>
        <w:t>U.S. Tax Compliance Certificate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2.20(g)</w:t>
      </w:r>
      <w:r>
        <w:rPr>
          <w:rFonts w:ascii="Times New Roman" w:hAnsi="Times New Roman"/>
          <w:color w:val="000000"/>
          <w:sz w:val="22"/>
        </w:rPr>
        <w:t>.</w:t>
      </w:r>
    </w:p>
    <w:p>
      <w:pPr>
        <w:pStyle w:val="TextBody"/>
        <w:bidi w:val="0"/>
        <w:spacing w:before="240" w:after="283"/>
        <w:jc w:val="both"/>
        <w:rPr/>
      </w:pPr>
      <w:bookmarkStart w:id="351" w:name="xweighted_average_life_to_maturity__shal"/>
      <w:bookmarkEnd w:id="351"/>
      <w:r>
        <w:rPr>
          <w:color w:val="000000"/>
        </w:rPr>
        <w:t>“</w:t>
      </w:r>
      <w:r>
        <w:rPr>
          <w:rFonts w:ascii="Times New Roman" w:hAnsi="Times New Roman"/>
          <w:color w:val="000000"/>
          <w:sz w:val="22"/>
          <w:u w:val="single"/>
        </w:rPr>
        <w:t>Weighted Average Life to Maturity</w:t>
      </w:r>
      <w:r>
        <w:rPr>
          <w:rFonts w:ascii="Times New Roman" w:hAnsi="Times New Roman"/>
          <w:color w:val="000000"/>
          <w:sz w:val="20"/>
        </w:rPr>
        <w:t xml:space="preserve">” </w:t>
      </w:r>
      <w:r>
        <w:rPr>
          <w:rFonts w:ascii="Times New Roman" w:hAnsi="Times New Roman"/>
          <w:color w:val="000000"/>
          <w:sz w:val="22"/>
        </w:rPr>
        <w:t>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240" w:after="283"/>
        <w:jc w:val="both"/>
        <w:rPr/>
      </w:pPr>
      <w:bookmarkStart w:id="352" w:name="xwholly_owned_subsidiary__shall_mean__wi"/>
      <w:bookmarkEnd w:id="352"/>
      <w:r>
        <w:rPr>
          <w:color w:val="000000"/>
        </w:rPr>
        <w:t>“</w:t>
      </w:r>
      <w:r>
        <w:rPr>
          <w:rFonts w:ascii="Times New Roman" w:hAnsi="Times New Roman"/>
          <w:color w:val="000000"/>
          <w:sz w:val="22"/>
          <w:u w:val="single"/>
        </w:rPr>
        <w:t>Wholly-Owned Subsidiary</w:t>
      </w:r>
      <w:r>
        <w:rPr>
          <w:rFonts w:ascii="Times New Roman" w:hAnsi="Times New Roman"/>
          <w:color w:val="000000"/>
          <w:sz w:val="20"/>
        </w:rPr>
        <w:t xml:space="preserve">” </w:t>
      </w:r>
      <w:r>
        <w:rPr>
          <w:rFonts w:ascii="Times New Roman" w:hAnsi="Times New Roman"/>
          <w:color w:val="000000"/>
          <w:sz w:val="22"/>
        </w:rPr>
        <w:t>shall mean, with respect to any Person at any date, a subsidiary of such Person of which securities or other ownership interests representing 100% of the Capital Stock (other than (a) directors’, managers’ or members’ qualifying shares and (b) nominal shares issued to foreign nationals or other Persons to the extent required by applicable Law) are, as of such date, owned, controlled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 held by such Person or one or more wholly-owned subsidiaries of such Person or by such Person and one or more wholly-owned subsidiaries of such Person.</w:t>
      </w:r>
    </w:p>
    <w:p>
      <w:pPr>
        <w:pStyle w:val="TextBody"/>
        <w:bidi w:val="0"/>
        <w:spacing w:before="240" w:after="283"/>
        <w:jc w:val="both"/>
        <w:rPr/>
      </w:pPr>
      <w:bookmarkStart w:id="353" w:name="xwithdrawal_liability__shall_mean_liabil"/>
      <w:bookmarkEnd w:id="353"/>
      <w:r>
        <w:rPr>
          <w:color w:val="000000"/>
        </w:rPr>
        <w:t>“</w:t>
      </w:r>
      <w:r>
        <w:rPr>
          <w:rFonts w:ascii="Times New Roman" w:hAnsi="Times New Roman"/>
          <w:color w:val="000000"/>
          <w:sz w:val="22"/>
          <w:u w:val="single"/>
        </w:rPr>
        <w:t>Withdrawal Liability</w:t>
      </w:r>
      <w:r>
        <w:rPr>
          <w:rFonts w:ascii="Times New Roman" w:hAnsi="Times New Roman"/>
          <w:color w:val="000000"/>
          <w:sz w:val="20"/>
        </w:rPr>
        <w:t xml:space="preserve">” </w:t>
      </w:r>
      <w:r>
        <w:rPr>
          <w:rFonts w:ascii="Times New Roman" w:hAnsi="Times New Roman"/>
          <w:color w:val="000000"/>
          <w:sz w:val="22"/>
        </w:rPr>
        <w:t>shall mean liability to a Multiemployer Plan as a result of a complete or partial withdrawal from such Multiemployer Plan, as such terms are defined in Part I of Subtitle E of Title IV of ERISA.</w:t>
      </w:r>
    </w:p>
    <w:p>
      <w:pPr>
        <w:pStyle w:val="TextBody"/>
        <w:bidi w:val="0"/>
        <w:spacing w:before="240" w:after="283"/>
        <w:jc w:val="both"/>
        <w:rPr/>
      </w:pPr>
      <w:bookmarkStart w:id="354" w:name="xwithholding_agent__shall_mean_any_loan_"/>
      <w:bookmarkEnd w:id="354"/>
      <w:r>
        <w:rPr>
          <w:color w:val="000000"/>
        </w:rPr>
        <w:t>“</w:t>
      </w:r>
      <w:r>
        <w:rPr>
          <w:rFonts w:ascii="Times New Roman" w:hAnsi="Times New Roman"/>
          <w:color w:val="000000"/>
          <w:sz w:val="22"/>
          <w:u w:val="single"/>
        </w:rPr>
        <w:t>Withholding Agent</w:t>
      </w:r>
      <w:r>
        <w:rPr>
          <w:rFonts w:ascii="Times New Roman" w:hAnsi="Times New Roman"/>
          <w:color w:val="000000"/>
          <w:sz w:val="20"/>
        </w:rPr>
        <w:t xml:space="preserve">” </w:t>
      </w:r>
      <w:r>
        <w:rPr>
          <w:rFonts w:ascii="Times New Roman" w:hAnsi="Times New Roman"/>
          <w:color w:val="000000"/>
          <w:sz w:val="22"/>
        </w:rPr>
        <w:t>shall mean any Loan Party and the Administrative Agent, as applicable.</w:t>
      </w:r>
    </w:p>
    <w:p>
      <w:pPr>
        <w:pStyle w:val="TextBody"/>
        <w:bidi w:val="0"/>
        <w:spacing w:before="240" w:after="283"/>
        <w:jc w:val="both"/>
        <w:rPr/>
      </w:pPr>
      <w:bookmarkStart w:id="355" w:name="xwrite_down_and_conversion_powers__shall"/>
      <w:bookmarkEnd w:id="355"/>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240" w:after="283"/>
        <w:jc w:val="both"/>
        <w:rPr>
          <w:rFonts w:ascii="Times New Roman" w:hAnsi="Times New Roman"/>
          <w:sz w:val="20"/>
        </w:rPr>
      </w:pPr>
      <w:bookmarkStart w:id="356" w:name="section_1_2_classifications_of_loans_and"/>
      <w:bookmarkEnd w:id="356"/>
      <w:r>
        <w:rPr>
          <w:rFonts w:ascii="Times New Roman" w:hAnsi="Times New Roman"/>
          <w:color w:val="000000"/>
          <w:sz w:val="22"/>
        </w:rPr>
        <w:t xml:space="preserve">Section 1.2 </w:t>
      </w:r>
      <w:r>
        <w:rPr>
          <w:rFonts w:ascii="Times New Roman" w:hAnsi="Times New Roman"/>
          <w:color w:val="000000"/>
          <w:sz w:val="22"/>
          <w:u w:val="single"/>
        </w:rPr>
        <w:t>Classifications of Loans and Borrowings</w:t>
      </w:r>
      <w:r>
        <w:rPr>
          <w:rFonts w:ascii="Times New Roman" w:hAnsi="Times New Roman"/>
          <w:color w:val="000000"/>
          <w:sz w:val="22"/>
        </w:rPr>
        <w:t>. For purposes of this Agreement, Loans may be classified and referred to by Class (e.g., a “Revolving Loan” or “Term Loan”) or by Type (e.g., a “SOFR Loan” or “Base Rate Loan”) or by Class and Type (e.g., “Revolving SOFR Loan”). Borrowings also may be classified and referred to by Class (e.g., “Revolving Borrowing”) or by Type (e.g., “SOFR Borrowing”) or by Class and Type (e.g., “Revolving SOFR Borrowing”).</w:t>
      </w:r>
    </w:p>
    <w:p>
      <w:pPr>
        <w:pStyle w:val="TextBody"/>
        <w:bidi w:val="0"/>
        <w:spacing w:before="240" w:after="283"/>
        <w:jc w:val="both"/>
        <w:rPr>
          <w:rFonts w:ascii="Times New Roman" w:hAnsi="Times New Roman"/>
          <w:sz w:val="20"/>
        </w:rPr>
      </w:pPr>
      <w:bookmarkStart w:id="357" w:name="section_1_3_accounting_terms_and_determi"/>
      <w:bookmarkEnd w:id="357"/>
      <w:r>
        <w:rPr>
          <w:rFonts w:ascii="Times New Roman" w:hAnsi="Times New Roman"/>
          <w:color w:val="000000"/>
          <w:sz w:val="22"/>
        </w:rPr>
        <w:t xml:space="preserve">Section 1.3 </w:t>
      </w:r>
      <w:r>
        <w:rPr>
          <w:rFonts w:ascii="Times New Roman" w:hAnsi="Times New Roman"/>
          <w:color w:val="000000"/>
          <w:sz w:val="22"/>
          <w:u w:val="single"/>
        </w:rPr>
        <w:t>Accounting Terms and Determination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Unless otherwise defined or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statements of the Holdings delivered pursuant to </w:t>
      </w:r>
      <w:r>
        <w:rPr>
          <w:rFonts w:ascii="Times New Roman" w:hAnsi="Times New Roman"/>
          <w:color w:val="000000"/>
          <w:sz w:val="22"/>
          <w:u w:val="single"/>
        </w:rPr>
        <w:t>Section 5.1(a</w:t>
      </w:r>
      <w:r>
        <w:rPr>
          <w:rFonts w:ascii="Times New Roman" w:hAnsi="Times New Roman"/>
          <w:color w:val="000000"/>
          <w:sz w:val="22"/>
        </w:rPr>
        <w:t xml:space="preserve">) (or, if no such financial statements have been delivered, on a basis consistent with the Audited Financial Statements);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Borrower notifies the Administrative Agent that the Borrower wishes to amend any covenant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to eliminate the effect of any change in GAAP on the operation of such covenant (or if the Administrative Agent notifies the Borrower that the Required Lenders wish to amend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Notwithstanding any other provision contained herein, (i)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any Loan Party or any Subsidiary of any Loan Party at “fair value”, as defined therein and (ii) for all purposes of this Agreement and the other Loan Documents, including negative covenants, financial covenants and component definitions, GAAP will be deemed to treat operating leases and Capital Lease Obligations, in each case, in a manner consistent with the treatment under GAAP as in effect prior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issuance by the Financial Accounting Standards Board on February 25, 2016 of Accounting Standards Update No. 2016-02 (Topic 842).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the above, the parties hereto acknowledge and agree that all calculations of the financial covenants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(including for purposes of determining the Applicable Margin and any transaction that by the terms of this Agreement requires that any financial covenant contained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be calculated on a Pro Forma Basis) shall be made on a Pro Forma Basis with respect to any Asset Sale, Recovery Event or Acquisition transaction, in each case, in excess of $3,000,000, occurring during such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this Agreement or in any other Loan Document, any calculation of “extraordinary gains” and/or “extraordinary losses” shall, in each case for all purposes of this Agreement and the other Loan Documents, be determined by reference to GAAP as in effect immediately prior to giving effect to FASB’s Accounting Standards Update No. 2015–01.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anything to the contrary in this Agreement or in any other Loan Document, with respect to determining the permissibility of the incurrence of any Indebtedness, the proceeds thereof shall not be counted as Unrestricted Cash for the purposes of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of the definition of “Consolidated Total Net Leverage Ratio.”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58" w:name="section_1_4_terms_generally___the_defini"/>
      <w:bookmarkEnd w:id="358"/>
      <w:r>
        <w:rPr>
          <w:rFonts w:ascii="Times New Roman" w:hAnsi="Times New Roman"/>
          <w:color w:val="000000"/>
          <w:sz w:val="22"/>
        </w:rPr>
        <w:t xml:space="preserve">Section 1.4 </w:t>
      </w:r>
      <w:r>
        <w:rPr>
          <w:rFonts w:ascii="Times New Roman" w:hAnsi="Times New Roman"/>
          <w:color w:val="000000"/>
          <w:sz w:val="22"/>
          <w:u w:val="single"/>
        </w:rPr>
        <w:t>Terms Generally</w:t>
      </w:r>
      <w:r>
        <w:rPr>
          <w:rFonts w:ascii="Times New Roman" w:hAnsi="Times New Roman"/>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shall mean “from and including” and the word “to” shall mean “to but excluding”. The word “or” is not exclusive. The word “year” shall refer (i) in the case of a leap year, to a year of 366 days, and (ii) otherwise, to a year of 365 days.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the words “renew”, “renewal” and variations thereof as used herein with respect to a Letter of Credit means to extend the term of such Letter of Credit or to reinstate an amount drawn under such Letter of Credit or both.</w:t>
      </w:r>
    </w:p>
    <w:p>
      <w:pPr>
        <w:pStyle w:val="TextBody"/>
        <w:bidi w:val="0"/>
        <w:spacing w:before="240" w:after="283"/>
        <w:jc w:val="both"/>
        <w:rPr>
          <w:rFonts w:ascii="Times New Roman" w:hAnsi="Times New Roman"/>
          <w:sz w:val="20"/>
        </w:rPr>
      </w:pPr>
      <w:bookmarkStart w:id="359" w:name="section_1_5_letter_of_credit_amounts___u"/>
      <w:bookmarkEnd w:id="359"/>
      <w:r>
        <w:rPr>
          <w:rFonts w:ascii="Times New Roman" w:hAnsi="Times New Roman"/>
          <w:color w:val="000000"/>
          <w:sz w:val="22"/>
        </w:rPr>
        <w:t xml:space="preserve">Section 1.5 </w:t>
      </w:r>
      <w:r>
        <w:rPr>
          <w:rFonts w:ascii="Times New Roman" w:hAnsi="Times New Roman"/>
          <w:color w:val="000000"/>
          <w:sz w:val="22"/>
          <w:u w:val="single"/>
        </w:rPr>
        <w:t>Letter of Credit Amounts</w:t>
      </w:r>
      <w:r>
        <w:rPr>
          <w:rFonts w:ascii="Times New Roman" w:hAnsi="Times New Roman"/>
          <w:color w:val="000000"/>
          <w:sz w:val="22"/>
        </w:rPr>
        <w:t xml:space="preserve">. Unless otherwise specified herein, the amount of a Letter of Credit at any time shall be deemed to be the amount of such Letter of Credit available to be drawn at such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with respect to any Letter of Credit that, by its terms, provides for one or more automatic increases in the available amount thereof, the amount of such Letter of Credit shall be deemed to be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maximum amount of such Letter of Credit after giving effect to all such increases, whether or not such maximum amount is available to be drawn at such time.</w:t>
      </w:r>
    </w:p>
    <w:p>
      <w:pPr>
        <w:pStyle w:val="TextBody"/>
        <w:bidi w:val="0"/>
        <w:spacing w:before="240" w:after="283"/>
        <w:jc w:val="both"/>
        <w:rPr>
          <w:rFonts w:ascii="Times New Roman" w:hAnsi="Times New Roman"/>
          <w:sz w:val="20"/>
        </w:rPr>
      </w:pPr>
      <w:bookmarkStart w:id="360" w:name="section_1_6_times_of_day___unless_otherw"/>
      <w:bookmarkEnd w:id="360"/>
      <w:r>
        <w:rPr>
          <w:rFonts w:ascii="Times New Roman" w:hAnsi="Times New Roman"/>
          <w:color w:val="000000"/>
          <w:sz w:val="22"/>
        </w:rPr>
        <w:t xml:space="preserve">Section 1.6 </w:t>
      </w:r>
      <w:r>
        <w:rPr>
          <w:rFonts w:ascii="Times New Roman" w:hAnsi="Times New Roman"/>
          <w:color w:val="000000"/>
          <w:sz w:val="22"/>
          <w:u w:val="single"/>
        </w:rPr>
        <w:t>Times of Day</w:t>
      </w:r>
      <w:r>
        <w:rPr>
          <w:rFonts w:ascii="Times New Roman" w:hAnsi="Times New Roman"/>
          <w:color w:val="000000"/>
          <w:sz w:val="22"/>
        </w:rPr>
        <w:t>. Unless otherwise specified, all references herein to times of day shall be references to Eastern time (daylight or standard, as applicable).</w:t>
      </w:r>
    </w:p>
    <w:p>
      <w:pPr>
        <w:pStyle w:val="TextBody"/>
        <w:bidi w:val="0"/>
        <w:spacing w:before="240" w:after="283"/>
        <w:jc w:val="both"/>
        <w:rPr>
          <w:rFonts w:ascii="Times New Roman" w:hAnsi="Times New Roman"/>
          <w:sz w:val="20"/>
        </w:rPr>
      </w:pPr>
      <w:bookmarkStart w:id="361" w:name="section_1_7_divisions___for_all_purposes"/>
      <w:bookmarkEnd w:id="361"/>
      <w:r>
        <w:rPr>
          <w:rFonts w:ascii="Times New Roman" w:hAnsi="Times New Roman"/>
          <w:color w:val="000000"/>
          <w:sz w:val="22"/>
        </w:rPr>
        <w:t xml:space="preserve">Section 1.7 </w:t>
      </w:r>
      <w:r>
        <w:rPr>
          <w:rFonts w:ascii="Times New Roman" w:hAnsi="Times New Roman"/>
          <w:color w:val="000000"/>
          <w:sz w:val="22"/>
          <w:u w:val="single"/>
        </w:rPr>
        <w:t>Divisions</w:t>
      </w:r>
      <w:r>
        <w:rPr>
          <w:rFonts w:ascii="Times New Roman" w:hAnsi="Times New Roman"/>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240" w:after="283"/>
        <w:jc w:val="both"/>
        <w:rPr>
          <w:rFonts w:ascii="Times New Roman" w:hAnsi="Times New Roman"/>
          <w:sz w:val="20"/>
        </w:rPr>
      </w:pPr>
      <w:bookmarkStart w:id="362" w:name="section_1_8_rates___the_administrative_a"/>
      <w:bookmarkEnd w:id="362"/>
      <w:r>
        <w:rPr>
          <w:rFonts w:ascii="Times New Roman" w:hAnsi="Times New Roman"/>
          <w:color w:val="000000"/>
          <w:sz w:val="22"/>
        </w:rPr>
        <w:t xml:space="preserve">Section 1.8 </w:t>
      </w:r>
      <w:r>
        <w:rPr>
          <w:rFonts w:ascii="Times New Roman" w:hAnsi="Times New Roman"/>
          <w:color w:val="000000"/>
          <w:sz w:val="22"/>
          <w:u w:val="single"/>
        </w:rPr>
        <w:t>Rates</w:t>
      </w:r>
      <w:r>
        <w:rPr>
          <w:rFonts w:ascii="Times New Roman" w:hAnsi="Times New Roman"/>
          <w:color w:val="000000"/>
          <w:sz w:val="22"/>
        </w:rPr>
        <w:t>. The Administrative Agent does not warrant or accept responsibility for, and shall not have any liability with respect to (a) the 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240" w:after="283"/>
        <w:jc w:val="both"/>
        <w:rPr>
          <w:rFonts w:ascii="Times New Roman" w:hAnsi="Times New Roman"/>
          <w:sz w:val="20"/>
        </w:rPr>
      </w:pPr>
      <w:bookmarkStart w:id="363" w:name="section_1_9_limited_condition_transactio"/>
      <w:bookmarkEnd w:id="363"/>
      <w:r>
        <w:rPr>
          <w:rFonts w:ascii="Times New Roman" w:hAnsi="Times New Roman"/>
          <w:color w:val="000000"/>
          <w:sz w:val="22"/>
        </w:rPr>
        <w:t xml:space="preserve">Section 1.9 </w:t>
      </w:r>
      <w:r>
        <w:rPr>
          <w:rFonts w:ascii="Times New Roman" w:hAnsi="Times New Roman"/>
          <w:color w:val="000000"/>
          <w:sz w:val="22"/>
          <w:u w:val="single"/>
        </w:rPr>
        <w:t>Limited Condition Transactions</w:t>
      </w:r>
      <w:r>
        <w:rPr>
          <w:rFonts w:ascii="Times New Roman" w:hAnsi="Times New Roman"/>
          <w:color w:val="000000"/>
          <w:sz w:val="22"/>
        </w:rPr>
        <w:t>. For purposes of determining compliance on a Pro Forma Basis with the Consolidated Total Net Leverage Ratio, the Consolidated Fixed Charge Coverage Ratio, or any other financial covenant or ratio basket or calculation of total assets, or whether a Default or Event of Default has occurred and is continuing, in each case in connection with the consummation of a Limited Condition Transaction, the date of determination shall, at the option of the Borrower, be the time the definitive agreements for such Limited Condition Transaction are entered into (the “</w:t>
      </w:r>
      <w:r>
        <w:rPr>
          <w:rFonts w:ascii="Times New Roman" w:hAnsi="Times New Roman"/>
          <w:color w:val="000000"/>
          <w:sz w:val="22"/>
          <w:u w:val="single"/>
        </w:rPr>
        <w:t>LCA Test Date</w:t>
      </w:r>
      <w:r>
        <w:rPr>
          <w:rFonts w:ascii="Times New Roman" w:hAnsi="Times New Roman"/>
          <w:color w:val="000000"/>
          <w:sz w:val="20"/>
        </w:rPr>
        <w:t>”</w:t>
      </w:r>
      <w:r>
        <w:rPr>
          <w:rFonts w:ascii="Times New Roman" w:hAnsi="Times New Roman"/>
          <w:color w:val="000000"/>
          <w:sz w:val="22"/>
        </w:rPr>
        <w:t xml:space="preserve">) after giving effect to such Limited Condition Transaction on a Pro Forma Basis and the other transactions to be entered into in connection therewith (including any incurrence of Indebtedness and the use of proceeds thereof) as if they occurred at the beginning of the most recent period of four (4) Fiscal Quarters then ended prior to the LCA Test Date for which consolidated financial statements of Holdings are available, and, for the avoidance of doubt, if any of such ratios or amounts are exceeded as a result of fluctuations in such ratio or amount including due to fluctuations in Consolidated EBITDA of the Borrower or the person subject to such acquisition, at or prior to the consummation of the relevant Limited Condition Transaction, such ratios will not be deemed to have been exceeded as a result of such fluctuations solely for purposes of determining whether the relevant Limited Condition Transaction is permitted to be consummated;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Borrower elects to have such determinations occur at the time of entry into such definitive agreement, the Limited Condition Transaction and the Incremental Term Loan to be incurred (and any associated Lien) and the use of proceeds thereof (and the consummation of the applicable Acquisition) shall be deemed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incurred and/or applied at the time of such election (until such time as the Incremental Term Loan is actually incurred or the applicable acquisition agreement is terminated without actually consummating the applicable Acquisition) and outstanding thereafter for purposes of determining compliance on a Pro Forma Basis with the Consolidated Total Net Leverage Ratio, the Consolidated Fixed Charge Coverage Ratio, or any other financial covenant or ratio basket or calculation of total assets, as the case may be (it being understood and agreed that with respect to any such ratio test or basket (even if unrelated to determining whether such Acquisition is a Permitted Acquisition), the Borrower shall demonstrate compliance with the applicable test both after giving effect to the applicable Limited Condition Transaction and assuming that such transaction had not occurred). Notwithstanding the foregoing, it is understood and agreed that (a) in the event the consummation of any such Limited Condition Transaction shall not have occurred on or prior to the date that is ninety (90) days following the signing of the definitive agreement therefor, such transaction shall no longer constitute a Limited Condition Transaction for any purpose hereunder, (b) in all cases no Specified Event of Default shall have occurred and be continuing at the time of the consummation of such Acquisition, and (c) in no event will any Incremental Revolving Commitment be subject to the Limited Condition Transaction provisions of this </w:t>
      </w:r>
      <w:r>
        <w:rPr>
          <w:rFonts w:ascii="Times New Roman" w:hAnsi="Times New Roman"/>
          <w:color w:val="000000"/>
          <w:sz w:val="22"/>
          <w:u w:val="single"/>
        </w:rPr>
        <w:t>Section 1.9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2.23</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bookmarkStart w:id="364" w:name="article_ii___amount_and_terms_of_the_com"/>
      <w:bookmarkEnd w:id="364"/>
      <w:r>
        <w:rPr>
          <w:rFonts w:ascii="Times New Roman" w:hAnsi="Times New Roman"/>
          <w:color w:val="000000"/>
          <w:sz w:val="22"/>
        </w:rPr>
        <w:t>ARTICLE II</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AMOUNT AND TERMS OF THE COMMITMENTS</w:t>
      </w:r>
    </w:p>
    <w:p>
      <w:pPr>
        <w:pStyle w:val="TextBody"/>
        <w:bidi w:val="0"/>
        <w:spacing w:before="240" w:after="283"/>
        <w:jc w:val="both"/>
        <w:rPr>
          <w:rFonts w:ascii="Times New Roman" w:hAnsi="Times New Roman"/>
          <w:sz w:val="20"/>
        </w:rPr>
      </w:pPr>
      <w:bookmarkStart w:id="365" w:name="section_2_1_general_description_of_facil"/>
      <w:bookmarkEnd w:id="365"/>
      <w:r>
        <w:rPr>
          <w:rFonts w:ascii="Times New Roman" w:hAnsi="Times New Roman"/>
          <w:color w:val="000000"/>
          <w:sz w:val="22"/>
        </w:rPr>
        <w:t xml:space="preserve">Section 2.1 </w:t>
      </w:r>
      <w:r>
        <w:rPr>
          <w:rFonts w:ascii="Times New Roman" w:hAnsi="Times New Roman"/>
          <w:color w:val="000000"/>
          <w:sz w:val="22"/>
          <w:u w:val="single"/>
        </w:rPr>
        <w:t>General Description of Facilities</w:t>
      </w:r>
      <w:r>
        <w:rPr>
          <w:rFonts w:ascii="Times New Roman" w:hAnsi="Times New Roman"/>
          <w:color w:val="000000"/>
          <w:sz w:val="22"/>
        </w:rPr>
        <w:t xml:space="preserve">. Subject to and upon the terms and conditions herein set forth, (i) the Lenders hereby establish in favor of the Borrower a revolving credit facility pursuant to which each Lender severally agrees (to the extent of such Lender’s Revolving Commitment) to make Revolving Loans to the Borrower in Dollars in accordance with </w:t>
      </w:r>
      <w:r>
        <w:rPr>
          <w:rFonts w:ascii="Times New Roman" w:hAnsi="Times New Roman"/>
          <w:color w:val="000000"/>
          <w:sz w:val="22"/>
          <w:u w:val="single"/>
        </w:rPr>
        <w:t>Section 2.2</w:t>
      </w:r>
      <w:r>
        <w:rPr>
          <w:rFonts w:ascii="Times New Roman" w:hAnsi="Times New Roman"/>
          <w:color w:val="000000"/>
          <w:sz w:val="22"/>
        </w:rPr>
        <w:t xml:space="preserve">, (ii) the Issuing Bank may issue Letters of Credit denominated in Dollars in accordance with </w:t>
      </w:r>
      <w:r>
        <w:rPr>
          <w:rFonts w:ascii="Times New Roman" w:hAnsi="Times New Roman"/>
          <w:color w:val="000000"/>
          <w:sz w:val="22"/>
          <w:u w:val="single"/>
        </w:rPr>
        <w:t>Section 2.22</w:t>
      </w:r>
      <w:r>
        <w:rPr>
          <w:rFonts w:ascii="Times New Roman" w:hAnsi="Times New Roman"/>
          <w:color w:val="000000"/>
          <w:sz w:val="22"/>
        </w:rPr>
        <w:t xml:space="preserve">, (iii) the Swingline Lender may make Swingline Loans to the Borrower in Dollars in accordance with </w:t>
      </w:r>
      <w:r>
        <w:rPr>
          <w:rFonts w:ascii="Times New Roman" w:hAnsi="Times New Roman"/>
          <w:color w:val="000000"/>
          <w:sz w:val="22"/>
          <w:u w:val="single"/>
        </w:rPr>
        <w:t>Section 2.4</w:t>
      </w:r>
      <w:r>
        <w:rPr>
          <w:rFonts w:ascii="Times New Roman" w:hAnsi="Times New Roman"/>
          <w:color w:val="000000"/>
          <w:sz w:val="22"/>
        </w:rPr>
        <w:t xml:space="preserve">, (iv) each Lender agrees to purchase a participation interest in the Letters of Credit and the Swingline Loans pursuant to the terms and conditions hereof; </w:t>
      </w:r>
      <w:r>
        <w:rPr>
          <w:rFonts w:ascii="Times New Roman" w:hAnsi="Times New Roman"/>
          <w:color w:val="000000"/>
          <w:sz w:val="22"/>
          <w:u w:val="single"/>
        </w:rPr>
        <w:t>provided</w:t>
      </w:r>
      <w:r>
        <w:rPr>
          <w:rFonts w:ascii="Times New Roman" w:hAnsi="Times New Roman"/>
          <w:color w:val="000000"/>
          <w:sz w:val="22"/>
        </w:rPr>
        <w:t>, that in no event shall the aggregate principal amount of all outstanding Revolving Loans, Swingline Loans and outstanding LC Exposure exceed the Aggregate Revolving Commitments in effect from time to time; and (v) each Lender severally agrees to advance its portion of the Term Loan A to the Borrower in Dollars on the Closing Date in a principal amount not exceeding such Lender’s Term Loan A Commitment.</w:t>
      </w:r>
    </w:p>
    <w:p>
      <w:pPr>
        <w:pStyle w:val="TextBody"/>
        <w:bidi w:val="0"/>
        <w:spacing w:before="240" w:after="283"/>
        <w:jc w:val="both"/>
        <w:rPr>
          <w:rFonts w:ascii="Times New Roman" w:hAnsi="Times New Roman"/>
          <w:sz w:val="20"/>
        </w:rPr>
      </w:pPr>
      <w:bookmarkStart w:id="366" w:name="section_2_2_revolving_loans___subject_to"/>
      <w:bookmarkEnd w:id="366"/>
      <w:r>
        <w:rPr>
          <w:rFonts w:ascii="Times New Roman" w:hAnsi="Times New Roman"/>
          <w:color w:val="000000"/>
          <w:sz w:val="22"/>
        </w:rPr>
        <w:t xml:space="preserve">Section 2.2 </w:t>
      </w:r>
      <w:r>
        <w:rPr>
          <w:rFonts w:ascii="Times New Roman" w:hAnsi="Times New Roman"/>
          <w:color w:val="000000"/>
          <w:sz w:val="22"/>
          <w:u w:val="single"/>
        </w:rPr>
        <w:t>Revolving Loans</w:t>
      </w:r>
      <w:r>
        <w:rPr>
          <w:rFonts w:ascii="Times New Roman" w:hAnsi="Times New Roman"/>
          <w:color w:val="000000"/>
          <w:sz w:val="22"/>
        </w:rPr>
        <w:t xml:space="preserve">. Subject to the terms and conditions set forth herein, each Lender severally agrees to make Revolving Loans, ratably in proportion to its Pro Rata Share of the Revolving Commitments, to the Borrower in Dollars, from time to time during the 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Commitments. During the Availability Period, the Borrower shall be entitled to borrow, prepay and reborrow Revolving Loans in accordance with the terms and conditions of this Agreement; </w:t>
      </w:r>
      <w:r>
        <w:rPr>
          <w:rFonts w:ascii="Times New Roman" w:hAnsi="Times New Roman"/>
          <w:color w:val="000000"/>
          <w:sz w:val="22"/>
          <w:u w:val="single"/>
        </w:rPr>
        <w:t>provided</w:t>
      </w:r>
      <w:r>
        <w:rPr>
          <w:rFonts w:ascii="Times New Roman" w:hAnsi="Times New Roman"/>
          <w:color w:val="000000"/>
          <w:sz w:val="22"/>
        </w:rPr>
        <w:t>, that the Borrower may not borrow or reborrow should there exist a Default or Event of Default.</w:t>
      </w:r>
    </w:p>
    <w:p>
      <w:pPr>
        <w:pStyle w:val="TextBody"/>
        <w:bidi w:val="0"/>
        <w:spacing w:before="240" w:after="283"/>
        <w:jc w:val="both"/>
        <w:rPr>
          <w:rFonts w:ascii="Times New Roman" w:hAnsi="Times New Roman"/>
          <w:sz w:val="20"/>
        </w:rPr>
      </w:pPr>
      <w:bookmarkStart w:id="367" w:name="section_2_3_procedure_for_revolving_borr"/>
      <w:bookmarkEnd w:id="367"/>
      <w:r>
        <w:rPr>
          <w:rFonts w:ascii="Times New Roman" w:hAnsi="Times New Roman"/>
          <w:color w:val="000000"/>
          <w:sz w:val="22"/>
        </w:rPr>
        <w:t xml:space="preserve">Section 2.3 </w:t>
      </w:r>
      <w:r>
        <w:rPr>
          <w:rFonts w:ascii="Times New Roman" w:hAnsi="Times New Roman"/>
          <w:color w:val="000000"/>
          <w:sz w:val="22"/>
          <w:u w:val="single"/>
        </w:rPr>
        <w:t>Procedure for Revolving Borrowings</w:t>
      </w:r>
      <w:r>
        <w:rPr>
          <w:rFonts w:ascii="Times New Roman" w:hAnsi="Times New Roman"/>
          <w:color w:val="000000"/>
          <w:sz w:val="22"/>
        </w:rPr>
        <w:t xml:space="preserve">. The Borrower shall give the Administrative Agent written notice (or telephonic notice promptly confirmed in writing) of each Revolving Borrowing substantially in the form of </w:t>
      </w:r>
      <w:r>
        <w:rPr>
          <w:rFonts w:ascii="Times New Roman" w:hAnsi="Times New Roman"/>
          <w:color w:val="000000"/>
          <w:sz w:val="22"/>
          <w:u w:val="single"/>
        </w:rPr>
        <w:t>Exhibit 2.3</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color w:val="000000"/>
          <w:sz w:val="22"/>
          <w:u w:val="single"/>
        </w:rPr>
        <w:t>Notice of Revolving Borrowing</w:t>
      </w:r>
      <w:r>
        <w:rPr>
          <w:rFonts w:ascii="Times New Roman" w:hAnsi="Times New Roman"/>
          <w:color w:val="000000"/>
          <w:sz w:val="20"/>
        </w:rPr>
        <w:t>”</w:t>
      </w:r>
      <w:r>
        <w:rPr>
          <w:rFonts w:ascii="Times New Roman" w:hAnsi="Times New Roman"/>
          <w:color w:val="000000"/>
          <w:sz w:val="22"/>
        </w:rPr>
        <w:t>) (x) prior to 11:00 a.m. one (1) Business Day prior to the requested date of each Base Rate Borrowing and (y) prior to 11:00 a.m. three (3) U.S. Government Securities Business Days prior to the requested date of each SOFR Borrowing. Each Notice of Revolving Borrowing shall be irrevocable and shall specify: (i) the aggregate principal amount of such Borrowing, (ii) the date of such Borrowing (which shall be a Business Day), (iii) the Type of such Revolving Loan comprising such Borrowing, (iv) in the case of a SOFR Borrowing, the duration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initial Interest Period applicable thereto (subject to the provisions of the definition of Interest Period), and (v) the location and number of the Borrower’s account to which proceeds of such Revolving Borrowing are to be disbursed. Each Revolving Borrowing shall consist of Base Rate Loans or SOFR Loans or a combination thereof, as the Borrower may request. The aggregate principal amount of each SOFR Borrowing shall not be less than $5,000,000 or a larger multiple of $1,000,000, and the aggregate principal amount of each Base Rate Borrowing shall not be less than $1,000,000 or a larger multiple of $100,000; </w:t>
      </w:r>
      <w:r>
        <w:rPr>
          <w:rFonts w:ascii="Times New Roman" w:hAnsi="Times New Roman"/>
          <w:color w:val="000000"/>
          <w:sz w:val="22"/>
          <w:u w:val="single"/>
        </w:rPr>
        <w:t>provided</w:t>
      </w:r>
      <w:r>
        <w:rPr>
          <w:rFonts w:ascii="Times New Roman" w:hAnsi="Times New Roman"/>
          <w:color w:val="000000"/>
          <w:sz w:val="22"/>
        </w:rPr>
        <w:t xml:space="preserve">, that Base Rate Loans made pursuant to </w:t>
      </w:r>
      <w:r>
        <w:rPr>
          <w:rFonts w:ascii="Times New Roman" w:hAnsi="Times New Roman"/>
          <w:color w:val="000000"/>
          <w:sz w:val="22"/>
          <w:u w:val="single"/>
        </w:rPr>
        <w:t>Section 2.4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2.22(d</w:t>
      </w:r>
      <w:r>
        <w:rPr>
          <w:rFonts w:ascii="Times New Roman" w:hAnsi="Times New Roman"/>
          <w:color w:val="000000"/>
          <w:sz w:val="22"/>
        </w:rPr>
        <w:t>) may be made in lesser amounts as provided therein. Promptly following the receipt of a Notice of Revolving Borrowing in accordance herewith, the Administrative Agent shall advise each Lender of the details thereof and the amount of such Lender’s Revolving Loan to be made as part of the requested Revolving Borrowing.</w:t>
      </w:r>
    </w:p>
    <w:p>
      <w:pPr>
        <w:pStyle w:val="TextBody"/>
        <w:bidi w:val="0"/>
        <w:spacing w:before="240" w:after="283"/>
        <w:jc w:val="both"/>
        <w:rPr>
          <w:rFonts w:ascii="Times New Roman" w:hAnsi="Times New Roman"/>
          <w:sz w:val="20"/>
        </w:rPr>
      </w:pPr>
      <w:bookmarkStart w:id="368" w:name="section_2_4_swingline_commitment_"/>
      <w:bookmarkEnd w:id="368"/>
      <w:r>
        <w:rPr>
          <w:rFonts w:ascii="Times New Roman" w:hAnsi="Times New Roman"/>
          <w:color w:val="000000"/>
          <w:sz w:val="22"/>
        </w:rPr>
        <w:t xml:space="preserve">Section 2.4 </w:t>
      </w:r>
      <w:r>
        <w:rPr>
          <w:rFonts w:ascii="Times New Roman" w:hAnsi="Times New Roman"/>
          <w:color w:val="000000"/>
          <w:sz w:val="22"/>
          <w:u w:val="single"/>
        </w:rPr>
        <w:t>Swingline Commitment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Subject to the terms and conditions set forth herein, the Swingline Lender may, in its sole discretion, make Swingline Loans to the Borrower in Dollars, from time to time during the Availability Period, in an aggregate principal amount outstanding at any time not to exceed the lesser of (i) the Swingline Commitment then in effect and (ii) the difference between the Aggregate Revolving Commitments and the aggregate Revolving Credit Exposures of all Lenders; </w:t>
      </w:r>
      <w:r>
        <w:rPr>
          <w:rFonts w:ascii="Times New Roman" w:hAnsi="Times New Roman"/>
          <w:color w:val="000000"/>
          <w:sz w:val="22"/>
          <w:u w:val="single"/>
        </w:rPr>
        <w:t>provided</w:t>
      </w:r>
      <w:r>
        <w:rPr>
          <w:rFonts w:ascii="Times New Roman" w:hAnsi="Times New Roman"/>
          <w:color w:val="000000"/>
          <w:sz w:val="22"/>
        </w:rPr>
        <w:t>, that the Swingline Lender shall not be required to make a Swingline Loan to refinance an outstanding Swingline Loan. The Borrower shall be entitled to borrow, repay and reborrow Swingline Loans in accordance with the terms and conditions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The Borrower shall give the Administrative Agent written notice (or telephonic notice promptly confirmed in writing) of each Swingline Borrowing substantially in the form of </w:t>
      </w:r>
      <w:r>
        <w:rPr>
          <w:rFonts w:ascii="Times New Roman" w:hAnsi="Times New Roman"/>
          <w:color w:val="000000"/>
          <w:sz w:val="22"/>
          <w:u w:val="single"/>
        </w:rPr>
        <w:t>Exhibit 2.4</w:t>
      </w:r>
      <w:r>
        <w:rPr>
          <w:color w:val="000000"/>
        </w:rPr>
        <w:t xml:space="preserve"> </w:t>
      </w:r>
      <w:r>
        <w:rPr>
          <w:rFonts w:ascii="Times New Roman" w:hAnsi="Times New Roman"/>
          <w:color w:val="000000"/>
          <w:sz w:val="22"/>
        </w:rPr>
        <w:t>attached hereto (“</w:t>
      </w:r>
      <w:r>
        <w:rPr>
          <w:rFonts w:ascii="Times New Roman" w:hAnsi="Times New Roman"/>
          <w:color w:val="000000"/>
          <w:sz w:val="22"/>
          <w:u w:val="single"/>
        </w:rPr>
        <w:t>Notice of Swingline Borrowing</w:t>
      </w:r>
      <w:r>
        <w:rPr>
          <w:color w:val="000000"/>
        </w:rPr>
        <w:t>”</w:t>
      </w:r>
      <w:r>
        <w:rPr>
          <w:rFonts w:ascii="Times New Roman" w:hAnsi="Times New Roman"/>
          <w:color w:val="000000"/>
          <w:sz w:val="22"/>
        </w:rPr>
        <w:t>) prior to 10:00 a.m.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on the requested date of such Swingline Borrowing.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The Swingline Lender, at any time and from time to time in its sole discretion, may, on behalf of the Borrower (which hereby irrevocably authorizes and directs the Swingline Lender to act on its behalf), give a Notice of Revolving Borrowing to the Administrative Agent requesting the Lenders (including the Swingline Lender) to make Base Rate Loans in an amount equal to the unpaid principal amount of any Swingline Loan. Each Lender will make the proceeds of its Base Rate Loan included in such Borrowing available to the Administrative Agent for the account of the Swingline Lender in accordance with </w:t>
      </w:r>
      <w:r>
        <w:rPr>
          <w:rFonts w:ascii="Times New Roman" w:hAnsi="Times New Roman"/>
          <w:color w:val="000000"/>
          <w:sz w:val="22"/>
          <w:u w:val="single"/>
        </w:rPr>
        <w:t>Section 2.6</w:t>
      </w:r>
      <w:r>
        <w:rPr>
          <w:rFonts w:ascii="Times New Roman" w:hAnsi="Times New Roman"/>
          <w:color w:val="000000"/>
          <w:sz w:val="22"/>
        </w:rPr>
        <w:t>, and such proceeds will be used solely for the repayment of such Swingline Loan.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If for any reason a Base Rate Borrowing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Base Rate Borrowing should have occurred. On the date of such required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purchase, each Lender shall promptly transfer, in immediately available funds, the amount of its participating interest to the Administrative Agent for the account of the Swingline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Each Lender’s obligation to make a Base Rate Loan pursuant to </w:t>
      </w:r>
      <w:r>
        <w:rPr>
          <w:rFonts w:ascii="Times New Roman" w:hAnsi="Times New Roman"/>
          <w:color w:val="000000"/>
          <w:sz w:val="22"/>
          <w:u w:val="single"/>
        </w:rPr>
        <w:t>Section 2.4(c</w:t>
      </w:r>
      <w:r>
        <w:rPr>
          <w:rFonts w:ascii="Times New Roman" w:hAnsi="Times New Roman"/>
          <w:color w:val="000000"/>
          <w:sz w:val="22"/>
        </w:rPr>
        <w:t xml:space="preserve">) or to purchase the participating interests pursuant to </w:t>
      </w:r>
      <w:r>
        <w:rPr>
          <w:rFonts w:ascii="Times New Roman" w:hAnsi="Times New Roman"/>
          <w:color w:val="000000"/>
          <w:sz w:val="22"/>
          <w:u w:val="single"/>
        </w:rPr>
        <w:t>Section 2.4(d</w:t>
      </w:r>
      <w:r>
        <w:rPr>
          <w:rFonts w:ascii="Times New Roman" w:hAnsi="Times New Roman"/>
          <w:color w:val="000000"/>
          <w:sz w:val="22"/>
        </w:rPr>
        <w:t xml:space="preserve">)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 had or could reasonably be expected to have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(i) at the Federal Funds Rate until the second Business Day after such demand and (ii) at the Base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w:t>
      </w:r>
      <w:r>
        <w:rPr>
          <w:rFonts w:ascii="Times New Roman" w:hAnsi="Times New Roman"/>
          <w:color w:val="000000"/>
          <w:sz w:val="22"/>
          <w:u w:val="single"/>
        </w:rPr>
        <w:t>Section 2.4</w:t>
      </w:r>
      <w:r>
        <w:rPr>
          <w:rFonts w:ascii="Times New Roman" w:hAnsi="Times New Roman"/>
          <w:color w:val="000000"/>
          <w:sz w:val="22"/>
        </w:rPr>
        <w:t>, until such amount has been purchased in full.</w:t>
      </w:r>
    </w:p>
    <w:p>
      <w:pPr>
        <w:pStyle w:val="TextBody"/>
        <w:bidi w:val="0"/>
        <w:spacing w:before="240" w:after="283"/>
        <w:jc w:val="both"/>
        <w:rPr>
          <w:rFonts w:ascii="Times New Roman" w:hAnsi="Times New Roman"/>
          <w:sz w:val="20"/>
        </w:rPr>
      </w:pPr>
      <w:bookmarkStart w:id="369" w:name="section_2_5_term_loan_a_commitment___sub"/>
      <w:bookmarkEnd w:id="369"/>
      <w:r>
        <w:rPr>
          <w:rFonts w:ascii="Times New Roman" w:hAnsi="Times New Roman"/>
          <w:color w:val="000000"/>
          <w:sz w:val="22"/>
        </w:rPr>
        <w:t xml:space="preserve">Section 2.5 </w:t>
      </w:r>
      <w:r>
        <w:rPr>
          <w:rFonts w:ascii="Times New Roman" w:hAnsi="Times New Roman"/>
          <w:color w:val="000000"/>
          <w:sz w:val="22"/>
          <w:u w:val="single"/>
        </w:rPr>
        <w:t>Term Loan A Commitment</w:t>
      </w:r>
      <w:r>
        <w:rPr>
          <w:rFonts w:ascii="Times New Roman" w:hAnsi="Times New Roman"/>
          <w:color w:val="000000"/>
          <w:sz w:val="22"/>
        </w:rPr>
        <w:t>. Subject to the terms and conditions set forth herein, each Lender severally agrees to make its portion of a single term loan (the “</w:t>
      </w:r>
      <w:r>
        <w:rPr>
          <w:rFonts w:ascii="Times New Roman" w:hAnsi="Times New Roman"/>
          <w:color w:val="000000"/>
          <w:sz w:val="22"/>
          <w:u w:val="single"/>
        </w:rPr>
        <w:t>Term Loan A</w:t>
      </w:r>
      <w:r>
        <w:rPr>
          <w:rFonts w:ascii="Times New Roman" w:hAnsi="Times New Roman"/>
          <w:color w:val="000000"/>
          <w:sz w:val="20"/>
        </w:rPr>
        <w:t>”</w:t>
      </w:r>
      <w:r>
        <w:rPr>
          <w:rFonts w:ascii="Times New Roman" w:hAnsi="Times New Roman"/>
          <w:color w:val="000000"/>
          <w:sz w:val="22"/>
        </w:rPr>
        <w:t xml:space="preserve">) to the Borrower in Dollars in one advance on the Closing Date in a principal amount equal to the Term Loan A Commitment of such Lender. The Term Loan A may be, from time to time, Base Rate Loans or SOFR Loans or a combination thereof; </w:t>
      </w:r>
      <w:r>
        <w:rPr>
          <w:rFonts w:ascii="Times New Roman" w:hAnsi="Times New Roman"/>
          <w:color w:val="000000"/>
          <w:sz w:val="22"/>
          <w:u w:val="single"/>
        </w:rPr>
        <w:t>provided</w:t>
      </w:r>
      <w:r>
        <w:rPr>
          <w:rFonts w:ascii="Times New Roman" w:hAnsi="Times New Roman"/>
          <w:color w:val="000000"/>
          <w:sz w:val="22"/>
        </w:rPr>
        <w:t xml:space="preserve">, that on the Closing Date the Term Loan A shall be Base Rate Loans unless the Administrative Agent shall have received a funding indemnity letter in form and substance reasonably satisfactory to the Administrative Agent. The execution and delivery of this Agreement by the Borrower and the satisfaction of all conditions precedent pursuant to </w:t>
      </w:r>
      <w:r>
        <w:rPr>
          <w:rFonts w:ascii="Times New Roman" w:hAnsi="Times New Roman"/>
          <w:color w:val="000000"/>
          <w:sz w:val="22"/>
          <w:u w:val="single"/>
        </w:rPr>
        <w:t>Section 3.1</w:t>
      </w:r>
      <w:r>
        <w:rPr>
          <w:rFonts w:ascii="Times New Roman" w:hAnsi="Times New Roman"/>
          <w:color w:val="000000"/>
          <w:sz w:val="20"/>
        </w:rPr>
        <w:t xml:space="preserve"> </w:t>
      </w:r>
      <w:r>
        <w:rPr>
          <w:rFonts w:ascii="Times New Roman" w:hAnsi="Times New Roman"/>
          <w:color w:val="000000"/>
          <w:sz w:val="22"/>
        </w:rPr>
        <w:t>shall be deemed to constitute the Borrower’s request to borrow the Term Loan A on the Closing Date. Amounts repaid on the Term Loan A may not be reborrowed.</w:t>
      </w:r>
    </w:p>
    <w:p>
      <w:pPr>
        <w:pStyle w:val="TextBody"/>
        <w:bidi w:val="0"/>
        <w:spacing w:before="240" w:after="283"/>
        <w:jc w:val="both"/>
        <w:rPr>
          <w:rFonts w:ascii="Times New Roman" w:hAnsi="Times New Roman"/>
          <w:sz w:val="20"/>
        </w:rPr>
      </w:pPr>
      <w:bookmarkStart w:id="370" w:name="section_2_6_funding_of_borrowings_"/>
      <w:bookmarkEnd w:id="370"/>
      <w:r>
        <w:rPr>
          <w:rFonts w:ascii="Times New Roman" w:hAnsi="Times New Roman"/>
          <w:color w:val="000000"/>
          <w:sz w:val="22"/>
        </w:rPr>
        <w:t xml:space="preserve">Section 2.6 </w:t>
      </w:r>
      <w:r>
        <w:rPr>
          <w:rFonts w:ascii="Times New Roman" w:hAnsi="Times New Roman"/>
          <w:color w:val="000000"/>
          <w:sz w:val="22"/>
          <w:u w:val="single"/>
        </w:rPr>
        <w:t>Funding of Borrowings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Lender will make available each Loan to be made by it hereunder on the proposed date thereof by wire transfer in immediately available funds by 11:00 a.m. to the Administrative Agent at the Payment Office; </w:t>
      </w:r>
      <w:r>
        <w:rPr>
          <w:rFonts w:ascii="Times New Roman" w:hAnsi="Times New Roman"/>
          <w:color w:val="000000"/>
          <w:sz w:val="22"/>
          <w:u w:val="single"/>
        </w:rPr>
        <w:t>provided</w:t>
      </w:r>
      <w:r>
        <w:rPr>
          <w:rFonts w:ascii="Times New Roman" w:hAnsi="Times New Roman"/>
          <w:color w:val="000000"/>
          <w:sz w:val="22"/>
        </w:rPr>
        <w:t xml:space="preserve">, that the Swingline Loans will be made as set forth in </w:t>
      </w:r>
      <w:r>
        <w:rPr>
          <w:rFonts w:ascii="Times New Roman" w:hAnsi="Times New Roman"/>
          <w:color w:val="000000"/>
          <w:sz w:val="22"/>
          <w:u w:val="single"/>
        </w:rPr>
        <w:t>Section 2.4</w:t>
      </w:r>
      <w:r>
        <w:rPr>
          <w:rFonts w:ascii="Times New Roman" w:hAnsi="Times New Roman"/>
          <w:color w:val="000000"/>
          <w:sz w:val="22"/>
        </w:rPr>
        <w:t>. The Administrative Agent will make such Loans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Unless the Administrative Agent shall have been notified by any Lender prior to 5:00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w:t>
      </w:r>
      <w:r>
        <w:rPr>
          <w:rFonts w:ascii="Times New Roman" w:hAnsi="Times New Roman"/>
          <w:color w:val="000000"/>
          <w:sz w:val="22"/>
          <w:u w:val="single"/>
        </w:rPr>
        <w:t>Section 2.6(b)</w:t>
      </w:r>
      <w:r>
        <w:rPr>
          <w:color w:val="000000"/>
        </w:rPr>
        <w:t xml:space="preserve"> </w:t>
      </w:r>
      <w:r>
        <w:rPr>
          <w:rFonts w:ascii="Times New Roman" w:hAnsi="Times New Roman"/>
          <w:color w:val="000000"/>
          <w:sz w:val="22"/>
        </w:rPr>
        <w:t>shall be deemed to relieve any Lender from its obligation to fund its Pro Rata Share of any Borrowing hereunder or to prejudice any rights which the Borrower may have against any Lender as a result of any default by such Lender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Revolving Borrowings shall be made by the Lenders on the basis of their respective Pro Rata Shares. No Lender shall be responsible for any default by any other Lender in its obligations hereunder, and each Lender shall be obligated to make its Loans provided to be made by it hereunder, regardless of the failure of any other Lender to make its Loans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71" w:name="section_2_7_interest_elections_"/>
      <w:bookmarkEnd w:id="371"/>
      <w:r>
        <w:rPr>
          <w:rFonts w:ascii="Times New Roman" w:hAnsi="Times New Roman"/>
          <w:color w:val="000000"/>
          <w:sz w:val="22"/>
        </w:rPr>
        <w:t xml:space="preserve">Section 2.7 </w:t>
      </w:r>
      <w:r>
        <w:rPr>
          <w:rFonts w:ascii="Times New Roman" w:hAnsi="Times New Roman"/>
          <w:color w:val="000000"/>
          <w:sz w:val="22"/>
          <w:u w:val="single"/>
        </w:rPr>
        <w:t>Interest Elections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Borrowing initially shall be of the Type specified in the applicable Notice of Borrowing. Thereafter, the Borrower may elect to convert such Borrowing into a different Type or to continue such Borrowing, all as provided in this </w:t>
      </w:r>
      <w:r>
        <w:rPr>
          <w:rFonts w:ascii="Times New Roman" w:hAnsi="Times New Roman"/>
          <w:color w:val="000000"/>
          <w:sz w:val="22"/>
          <w:u w:val="single"/>
        </w:rPr>
        <w:t>Section 2.7</w:t>
      </w:r>
      <w:r>
        <w:rPr>
          <w:rFonts w:ascii="Times New Roman" w:hAnsi="Times New Roman"/>
          <w:color w:val="000000"/>
          <w:sz w:val="22"/>
        </w:rPr>
        <w:t>.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 At no time shall the total number of SOFR Borrowings outstanding at any time exceed six.</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make an election pursuant to this </w:t>
      </w:r>
      <w:r>
        <w:rPr>
          <w:rFonts w:ascii="Times New Roman" w:hAnsi="Times New Roman"/>
          <w:color w:val="000000"/>
          <w:sz w:val="22"/>
          <w:u w:val="single"/>
        </w:rPr>
        <w:t>Section 2.7</w:t>
      </w:r>
      <w:r>
        <w:rPr>
          <w:rFonts w:ascii="Times New Roman" w:hAnsi="Times New Roman"/>
          <w:color w:val="000000"/>
          <w:sz w:val="22"/>
        </w:rPr>
        <w:t xml:space="preserve">, the Borrower shall give the Administrative Agent prior written notice (or telephonic notice promptly confirmed in writing) of each Borrowing that is to be converted or continued, as the case may be, substantially in the form of </w:t>
      </w:r>
      <w:r>
        <w:rPr>
          <w:rFonts w:ascii="Times New Roman" w:hAnsi="Times New Roman"/>
          <w:color w:val="000000"/>
          <w:sz w:val="22"/>
          <w:u w:val="single"/>
        </w:rPr>
        <w:t>Exhibit 2.7</w:t>
      </w:r>
      <w:r>
        <w:rPr>
          <w:color w:val="000000"/>
        </w:rPr>
        <w:t xml:space="preserve"> </w:t>
      </w:r>
      <w:r>
        <w:rPr>
          <w:rFonts w:ascii="Times New Roman" w:hAnsi="Times New Roman"/>
          <w:color w:val="000000"/>
          <w:sz w:val="22"/>
        </w:rPr>
        <w:t>attached hereto (a “</w:t>
      </w:r>
      <w:r>
        <w:rPr>
          <w:rFonts w:ascii="Times New Roman" w:hAnsi="Times New Roman"/>
          <w:color w:val="000000"/>
          <w:sz w:val="22"/>
          <w:u w:val="single"/>
        </w:rPr>
        <w:t>Notice of Conversion/Continuation</w:t>
      </w:r>
      <w:r>
        <w:rPr>
          <w:color w:val="000000"/>
        </w:rPr>
        <w:t>”</w:t>
      </w:r>
      <w:r>
        <w:rPr>
          <w:rFonts w:ascii="Times New Roman" w:hAnsi="Times New Roman"/>
          <w:color w:val="000000"/>
          <w:sz w:val="22"/>
        </w:rPr>
        <w:t xml:space="preserve">) (x) prior to 10:00 a.m. one (1) Business Day prior to the requested date of a conversion into a Base Rate Borrowing and (y) prior to 11:00 a.m. three (3) U.S. Government Securities Business Days prior to a continuation of or conversion into a SOFR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w:t>
      </w:r>
      <w:r>
        <w:rPr>
          <w:rFonts w:ascii="Times New Roman" w:hAnsi="Times New Roman"/>
          <w:color w:val="000000"/>
          <w:sz w:val="22"/>
          <w:u w:val="single"/>
        </w:rPr>
        <w:t>clauses (iii)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(iv)</w:t>
      </w:r>
      <w:r>
        <w:rPr>
          <w:color w:val="000000"/>
        </w:rPr>
        <w:t xml:space="preserve"> </w:t>
      </w:r>
      <w:r>
        <w:rPr>
          <w:rFonts w:ascii="Times New Roman" w:hAnsi="Times New Roman"/>
          <w:color w:val="000000"/>
          <w:sz w:val="22"/>
        </w:rPr>
        <w:t xml:space="preserve">shall be specified for each resulting Borrowing); (ii) the effective date of the election made pursuant to such Notice of Conversion/Continuation, which shall be a Business Day; (iii) whether the resulting Borrowing is to be a Base Rate Borrowing or a SOFR Borrowing; and (iv) if the resulting Borrowing is to be a SOFR Borrowing, the Interest Period applicable thereto after giving effect to such election, which shall be a period contemplated by the definition of “Interest Period”. If any such Notice of Conversion/Continuation requests a SOFR Borrowing but does not specify an Interest Period, the Borrower shall be deemed to have selected an Interest Period of one (1) month. The principal amount of any resulting Borrowing shall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satisfy the minimum borrowing amount for SOFR Borrowings and Base Rate Borrowings set forth in </w:t>
      </w:r>
      <w:r>
        <w:rPr>
          <w:rFonts w:ascii="Times New Roman" w:hAnsi="Times New Roman"/>
          <w:color w:val="000000"/>
          <w:sz w:val="22"/>
          <w:u w:val="single"/>
        </w:rPr>
        <w:t>Section 2.3</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on the expiration of any Interest Period in respect of any SOFR Borrowing, the Borrower shall have failed to deliver a Notice of Conversion/Continuation, then, unless such Borrowing is repaid as provided herein, the Borrower shall be deemed to have elected to convert such Borrowing to a Base Rate Borrowing. No Borrowing may be converted into, or continued as, a SOFR Borrowing if a Default or an Event of Default exists, unless the Administrative Agent and each of the Lenders shall have otherwise consented in writing. No conversion of any SOFR Loans shall be permitted except on the last day of the Interest Period in respect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receipt of any Notice of Conversion/Continuation, the Administrative Agent shall promptly notify each Lender of the details thereof and of such Lender’s portion of each resulting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72" w:name="section_2_8_optional_reduction_and_termi"/>
      <w:bookmarkEnd w:id="372"/>
      <w:r>
        <w:rPr>
          <w:rFonts w:ascii="Times New Roman" w:hAnsi="Times New Roman"/>
          <w:color w:val="000000"/>
          <w:sz w:val="22"/>
        </w:rPr>
        <w:t xml:space="preserve">Section 2.8 </w:t>
      </w:r>
      <w:r>
        <w:rPr>
          <w:rFonts w:ascii="Times New Roman" w:hAnsi="Times New Roman"/>
          <w:color w:val="000000"/>
          <w:sz w:val="22"/>
          <w:u w:val="single"/>
        </w:rPr>
        <w:t>Optional Reduction and Termination of Commitments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Unless previously terminated, all Revolving Commitments, Swingline Commitments and LC Commitments shall terminate on the Revolving Commitment Termination Date. The Term Loan A Commitments shall terminate on the Closing Date upon the making of the Term Loan A pursuant to </w:t>
      </w:r>
      <w:r>
        <w:rPr>
          <w:rFonts w:ascii="Times New Roman" w:hAnsi="Times New Roman"/>
          <w:color w:val="000000"/>
          <w:sz w:val="22"/>
          <w:u w:val="single"/>
        </w:rPr>
        <w:t>Section 2.5</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Upon at least three (3) Business Days’ prior written notice (or telephonic notice promptly confirmed in writing) to the Administrative Agent (which notice shall be irrevocable; </w:t>
      </w:r>
      <w:r>
        <w:rPr>
          <w:rFonts w:ascii="Times New Roman" w:hAnsi="Times New Roman"/>
          <w:color w:val="000000"/>
          <w:sz w:val="22"/>
          <w:u w:val="single"/>
        </w:rPr>
        <w:t>provided</w:t>
      </w:r>
      <w:r>
        <w:rPr>
          <w:rFonts w:ascii="Times New Roman" w:hAnsi="Times New Roman"/>
          <w:color w:val="000000"/>
          <w:sz w:val="22"/>
        </w:rPr>
        <w:t xml:space="preserve">, that, such notice may state that such request is conditioned upon the occurrence of other transactions, in which case such request may be revoked by the Borrower by written notice to the Administrative Agent on or prior to the specified effective date if such condition is not satisfied), the Borrower may reduce the Aggregate Revolving Commitments in part or terminate the Aggregate Revolving Commitments in whole; </w:t>
      </w:r>
      <w:r>
        <w:rPr>
          <w:rFonts w:ascii="Times New Roman" w:hAnsi="Times New Roman"/>
          <w:color w:val="000000"/>
          <w:sz w:val="22"/>
          <w:u w:val="single"/>
        </w:rPr>
        <w:t>provided</w:t>
      </w:r>
      <w:r>
        <w:rPr>
          <w:rFonts w:ascii="Times New Roman" w:hAnsi="Times New Roman"/>
          <w:color w:val="000000"/>
          <w:sz w:val="22"/>
        </w:rPr>
        <w:t xml:space="preserve">, that (i) any partial reduction shall apply to reduce proportionately and permanently the Revolving Commitment of each Lender, (ii) any partial reduction pursuant to this </w:t>
      </w:r>
      <w:r>
        <w:rPr>
          <w:rFonts w:ascii="Times New Roman" w:hAnsi="Times New Roman"/>
          <w:color w:val="000000"/>
          <w:sz w:val="22"/>
          <w:u w:val="single"/>
        </w:rPr>
        <w:t>Section 2.8</w:t>
      </w:r>
      <w:r>
        <w:rPr>
          <w:color w:val="000000"/>
        </w:rPr>
        <w:t xml:space="preserve"> </w:t>
      </w:r>
      <w:r>
        <w:rPr>
          <w:rFonts w:ascii="Times New Roman" w:hAnsi="Times New Roman"/>
          <w:color w:val="000000"/>
          <w:sz w:val="22"/>
        </w:rPr>
        <w:t>shall be in an amount of at least $5,000,000 and any larger multiple of $1,000,000, and (iii) no such reduction shall be permitted which would reduce the Aggregate Revolving Commitments to an amount less than the aggregate outstanding Revolving Credit Exposure of all Lenders. Any such reduction in the Aggregate Revolving Commitments below the principal amount of the Swingline Commitment and the LC Commitment shall result in a dollar-for-dollar reduction in the Swingline Commitment and the LC Commitment.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With the written approval of the Administrative Agent, the Borrower may terminate (on a non-ratable basis) the unused amount of the Revolving Commitment of a Defaulting Lender, and in such event the provisions of </w:t>
      </w:r>
      <w:r>
        <w:rPr>
          <w:rFonts w:ascii="Times New Roman" w:hAnsi="Times New Roman"/>
          <w:color w:val="000000"/>
          <w:sz w:val="22"/>
          <w:u w:val="single"/>
        </w:rPr>
        <w:t>Section 2.26</w:t>
      </w:r>
      <w:r>
        <w:rPr>
          <w:color w:val="000000"/>
        </w:rPr>
        <w:t xml:space="preserve"> </w:t>
      </w:r>
      <w:r>
        <w:rPr>
          <w:rFonts w:ascii="Times New Roman" w:hAnsi="Times New Roman"/>
          <w:color w:val="000000"/>
          <w:sz w:val="22"/>
        </w:rPr>
        <w:t xml:space="preserve">will apply to all amounts thereafter paid by the Borrower for the account of any such Defaulting Lender under this Agreement (whether on account of principal, interest, fees, indemnity or other amounts);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termination will not be deemed to be a waiver or release of any claim that the Borrower, the Administrative Agent, the Issuing Bank, the Swingline Lender or any other Lender may have against such Defaulting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373" w:name="section_2_9_repayment_of_loans_"/>
      <w:bookmarkEnd w:id="373"/>
      <w:r>
        <w:rPr>
          <w:rFonts w:ascii="Times New Roman" w:hAnsi="Times New Roman"/>
          <w:color w:val="000000"/>
          <w:sz w:val="22"/>
        </w:rPr>
        <w:t xml:space="preserve">Section 2.9 </w:t>
      </w:r>
      <w:r>
        <w:rPr>
          <w:rFonts w:ascii="Times New Roman" w:hAnsi="Times New Roman"/>
          <w:color w:val="000000"/>
          <w:sz w:val="22"/>
          <w:u w:val="single"/>
        </w:rPr>
        <w:t>Repayment of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unconditionally promises to pay to the Administrative Agent, for the account of each Lender, the aggregate principal amount of all Revolving Loans and Swingline Loans (together with accrued and unpaid interest thereon) of such Lender outstanding on the Revolving Commitment Termination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Borrower unconditionally promises to pay to the Administrative Agent for the account of each Lender the aggregate outstanding principal amount of the Term Loan A of such Lender in installments payable on the dates set forth below, with each such installment being in the aggregate principal amount (as such installment may be adjusted as a result of prepayments made pursuant to </w:t>
      </w:r>
      <w:r>
        <w:rPr>
          <w:rFonts w:ascii="Times New Roman" w:hAnsi="Times New Roman"/>
          <w:color w:val="000000"/>
          <w:sz w:val="22"/>
          <w:u w:val="single"/>
        </w:rPr>
        <w:t>Sections 2.11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2.12</w:t>
      </w:r>
      <w:r>
        <w:rPr>
          <w:rFonts w:ascii="Times New Roman" w:hAnsi="Times New Roman"/>
          <w:color w:val="000000"/>
          <w:sz w:val="22"/>
        </w:rPr>
        <w:t>) for all Lenders set forth opposite such date below (and on such other date(s) and in such other amounts as may be required from time to time pursuant to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tbl>
      <w:tblPr>
        <w:tblW w:w="6568" w:type="dxa"/>
        <w:jc w:val="left"/>
        <w:tblInd w:w="0" w:type="dxa"/>
        <w:tblLayout w:type="fixed"/>
        <w:tblCellMar>
          <w:top w:w="28" w:type="dxa"/>
          <w:left w:w="28" w:type="dxa"/>
          <w:bottom w:w="28" w:type="dxa"/>
          <w:right w:w="28" w:type="dxa"/>
        </w:tblCellMar>
      </w:tblPr>
      <w:tblGrid>
        <w:gridCol w:w="2011"/>
        <w:gridCol w:w="146"/>
        <w:gridCol w:w="441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Installment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Aggregate Principal Amount of Term Loan A</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$781,250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$1,562,500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$1,562,500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$1,562,500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$1,562,500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$2,343,750</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Notwithstanding anything to the contrary set forth herein, to the extent not previously paid, the Borrower unconditionally promises to pay to the Administrative Agent for the account of each Lender, the aggregate principal amount of the Term Loan A (together with accrued and unpaid interest thereon) of outstanding on the Maturity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Incremental Term Loan shall be repayable as provided in the documentation establishing such Incremental Term Loan. Amounts repaid on any Incremental Term Loan may not be reborrowed.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74" w:name="section_2_10_evidence_of_indebtedness_"/>
      <w:bookmarkEnd w:id="374"/>
      <w:r>
        <w:rPr>
          <w:rFonts w:ascii="Times New Roman" w:hAnsi="Times New Roman"/>
          <w:color w:val="000000"/>
          <w:sz w:val="22"/>
        </w:rPr>
        <w:t xml:space="preserve">Section 2.10 </w:t>
      </w:r>
      <w:r>
        <w:rPr>
          <w:rFonts w:ascii="Times New Roman" w:hAnsi="Times New Roman"/>
          <w:color w:val="000000"/>
          <w:sz w:val="22"/>
          <w:u w:val="single"/>
        </w:rPr>
        <w:t>Evidence of Indebtedness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maintain appropriate records in which shall be recorded (i) the Revolving Commitment and Term Loan Commitment of each Lender, (ii) the amount of each Loan made hereunder by each Lender, the Class and Type thereof and, in the case of each SOFR Loan, the Interest Period applicable thereto, (iii) the date of any continuation of any Loan pursuant to </w:t>
      </w:r>
      <w:r>
        <w:rPr>
          <w:rFonts w:ascii="Times New Roman" w:hAnsi="Times New Roman"/>
          <w:color w:val="000000"/>
          <w:sz w:val="22"/>
          <w:u w:val="single"/>
        </w:rPr>
        <w:t>Section 2.7</w:t>
      </w:r>
      <w:r>
        <w:rPr>
          <w:rFonts w:ascii="Times New Roman" w:hAnsi="Times New Roman"/>
          <w:color w:val="000000"/>
          <w:sz w:val="22"/>
        </w:rPr>
        <w:t xml:space="preserve">, (iv) the date of each conversion of all or a portion of any Loan to another Type pursuant to </w:t>
      </w:r>
      <w:r>
        <w:rPr>
          <w:rFonts w:ascii="Times New Roman" w:hAnsi="Times New Roman"/>
          <w:color w:val="000000"/>
          <w:sz w:val="22"/>
          <w:u w:val="single"/>
        </w:rPr>
        <w:t>Section 2.7</w:t>
      </w:r>
      <w:r>
        <w:rPr>
          <w:rFonts w:ascii="Times New Roman" w:hAnsi="Times New Roman"/>
          <w:color w:val="000000"/>
          <w:sz w:val="22"/>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Times New Roman" w:hAnsi="Times New Roman"/>
          <w:i/>
          <w:color w:val="000000"/>
          <w:sz w:val="22"/>
        </w:rPr>
        <w:t xml:space="preserve">prima facie </w:t>
      </w:r>
      <w:r>
        <w:rPr>
          <w:rFonts w:ascii="Times New Roman" w:hAnsi="Times New Roman"/>
          <w:color w:val="000000"/>
          <w:sz w:val="22"/>
        </w:rPr>
        <w:t xml:space="preserve">evidence of the existence and amounts of the obligations of the Borrower therein recorded; </w:t>
      </w:r>
      <w:r>
        <w:rPr>
          <w:rFonts w:ascii="Times New Roman" w:hAnsi="Times New Roman"/>
          <w:color w:val="000000"/>
          <w:sz w:val="22"/>
          <w:u w:val="single"/>
        </w:rPr>
        <w:t>provided</w:t>
      </w:r>
      <w:r>
        <w:rPr>
          <w:rFonts w:ascii="Times New Roman" w:hAnsi="Times New Roman"/>
          <w:color w:val="000000"/>
          <w:sz w:val="22"/>
        </w:rPr>
        <w:t>,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such Lender in the form of </w:t>
      </w:r>
      <w:r>
        <w:rPr>
          <w:rFonts w:ascii="Times New Roman" w:hAnsi="Times New Roman"/>
          <w:color w:val="000000"/>
          <w:sz w:val="22"/>
          <w:u w:val="single"/>
        </w:rPr>
        <w:t>Exhibit 2.10</w:t>
      </w:r>
      <w:r>
        <w:rPr>
          <w:color w:val="000000"/>
        </w:rPr>
        <w:t xml:space="preserve"> </w:t>
      </w:r>
      <w:r>
        <w:rPr>
          <w:rFonts w:ascii="Times New Roman" w:hAnsi="Times New Roman"/>
          <w:color w:val="000000"/>
          <w:sz w:val="22"/>
        </w:rPr>
        <w:t>(a “</w:t>
      </w:r>
      <w:r>
        <w:rPr>
          <w:rFonts w:ascii="Times New Roman" w:hAnsi="Times New Roman"/>
          <w:color w:val="000000"/>
          <w:sz w:val="22"/>
          <w:u w:val="single"/>
        </w:rPr>
        <w:t>Note</w:t>
      </w:r>
      <w:r>
        <w:rPr>
          <w:color w:val="000000"/>
        </w:rPr>
        <w:t>”</w:t>
      </w:r>
      <w:r>
        <w:rPr>
          <w:rFonts w:ascii="Times New Roman" w:hAnsi="Times New Roman"/>
          <w:color w:val="000000"/>
          <w:sz w:val="22"/>
        </w:rPr>
        <w:t>). Thereafter, the Loans evidenced by such promissory note and interest thereon shall at all times (including after assignment permitted hereunder) be represented by one or more promissory notes in such form payable to the payee named therein (or, if such promissory note is a registered note, to such payee and its registered assigns).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75" w:name="section_2_11_optional_prepayments___the_"/>
      <w:bookmarkEnd w:id="375"/>
      <w:r>
        <w:rPr>
          <w:rFonts w:ascii="Times New Roman" w:hAnsi="Times New Roman"/>
          <w:color w:val="000000"/>
          <w:sz w:val="22"/>
        </w:rPr>
        <w:t xml:space="preserve">Section 2.11 </w:t>
      </w:r>
      <w:r>
        <w:rPr>
          <w:rFonts w:ascii="Times New Roman" w:hAnsi="Times New Roman"/>
          <w:color w:val="000000"/>
          <w:sz w:val="22"/>
          <w:u w:val="single"/>
        </w:rPr>
        <w:t>Optional Prepayments</w:t>
      </w:r>
      <w:r>
        <w:rPr>
          <w:rFonts w:ascii="Times New Roman" w:hAnsi="Times New Roman"/>
          <w:color w:val="000000"/>
          <w:sz w:val="22"/>
        </w:rPr>
        <w:t>. The Borrower shall have the right at any time and from time to time to prepay any Borrowing, in whole or in part, without premium or penalty, by giving written notice (or telephonic notice promptly confirmed in writing) to the Administrative Agent (and, in the case of prepayment of a Swingline Loan, the Swingline Lender) no later than (i) in the case of any prepayment of any SOFR Borrowing, 11:00 a.m. not less than three (3) U.S. Government Securities Business Days prior to the date of such prepayment, (ii) in the case of any prepayment of any Base Rate Borrowing, 11:00 a.m. not less than one (1) Business Day prior to the date of such prepayment, and (iii) in the case of any prepayment of any Swingline Borrowing, 11:00 a.m. on the date of such prepayment. Each such notice shall be irrevocable (</w:t>
      </w:r>
      <w:r>
        <w:rPr>
          <w:rFonts w:ascii="Times New Roman" w:hAnsi="Times New Roman"/>
          <w:color w:val="000000"/>
          <w:sz w:val="22"/>
          <w:u w:val="single"/>
        </w:rPr>
        <w:t>provided</w:t>
      </w:r>
      <w:r>
        <w:rPr>
          <w:rFonts w:ascii="Times New Roman" w:hAnsi="Times New Roman"/>
          <w:color w:val="000000"/>
          <w:sz w:val="22"/>
        </w:rPr>
        <w:t xml:space="preserve">, that, such notice may state that such request is conditioned upon the occurrence of other transactions, in which case such request may be revoked by the Borrower by written notice to the Administrative Agent on or prior to the specified date of such prepayment if such condition is not satisfied)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together with accrued interest to such date on the amount so prepaid in accordance with </w:t>
      </w:r>
      <w:r>
        <w:rPr>
          <w:rFonts w:ascii="Times New Roman" w:hAnsi="Times New Roman"/>
          <w:color w:val="000000"/>
          <w:sz w:val="22"/>
          <w:u w:val="single"/>
        </w:rPr>
        <w:t>Section 2.13(d</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if a SOFR Borrowing is prepaid on a date other than the last day of an Interest Period applicable thereto, the Borrower shall also pay all amounts required pursuant to </w:t>
      </w:r>
      <w:r>
        <w:rPr>
          <w:rFonts w:ascii="Times New Roman" w:hAnsi="Times New Roman"/>
          <w:color w:val="000000"/>
          <w:sz w:val="22"/>
          <w:u w:val="single"/>
        </w:rPr>
        <w:t>Section 2.19</w:t>
      </w:r>
      <w:r>
        <w:rPr>
          <w:rFonts w:ascii="Times New Roman" w:hAnsi="Times New Roman"/>
          <w:color w:val="000000"/>
          <w:sz w:val="22"/>
        </w:rPr>
        <w:t xml:space="preserve">. Each partial prepayment of any Loan shall be in an amount that would be permitted in the case of an advance of a Revolving Borrowing of the same Type pursuant to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 xml:space="preserve">or in the case of a Swingline Loan pursuant to </w:t>
      </w:r>
      <w:r>
        <w:rPr>
          <w:rFonts w:ascii="Times New Roman" w:hAnsi="Times New Roman"/>
          <w:color w:val="000000"/>
          <w:sz w:val="22"/>
          <w:u w:val="single"/>
        </w:rPr>
        <w:t>Section 2.4</w:t>
      </w:r>
      <w:r>
        <w:rPr>
          <w:rFonts w:ascii="Times New Roman" w:hAnsi="Times New Roman"/>
          <w:color w:val="000000"/>
          <w:sz w:val="22"/>
        </w:rPr>
        <w:t>. Each prepayment of a Borrowing shall be applied ratably to the Loans comprising such Borrowing, and in the case of a prepayment of the Term Loan A or any Incremental Term Loan, ratably to the Term Loan A and all outstanding Incremental Term Loans, and to the principal installments thereof as directed by the Borrower (and absent such direction, in direct order of maturity).</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376" w:name="section_2_12_mandatory_prepayments_"/>
      <w:bookmarkEnd w:id="376"/>
      <w:r>
        <w:rPr>
          <w:rFonts w:ascii="Times New Roman" w:hAnsi="Times New Roman"/>
          <w:color w:val="000000"/>
          <w:sz w:val="22"/>
        </w:rPr>
        <w:t xml:space="preserve">Section 2.12 </w:t>
      </w:r>
      <w:r>
        <w:rPr>
          <w:rFonts w:ascii="Times New Roman" w:hAnsi="Times New Roman"/>
          <w:color w:val="000000"/>
          <w:sz w:val="22"/>
          <w:u w:val="single"/>
        </w:rPr>
        <w:t>Mandatory Prepayments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at any time the Revolving Credit Exposure of all Lenders exceeds the Aggregate Revolving Commitments, as reduced pursuant to </w:t>
      </w:r>
      <w:r>
        <w:rPr>
          <w:rFonts w:ascii="Times New Roman" w:hAnsi="Times New Roman"/>
          <w:color w:val="000000"/>
          <w:sz w:val="22"/>
          <w:u w:val="single"/>
        </w:rPr>
        <w:t>Section 2.8</w:t>
      </w:r>
      <w:r>
        <w:rPr>
          <w:color w:val="000000"/>
        </w:rPr>
        <w:t xml:space="preserve"> </w:t>
      </w:r>
      <w:r>
        <w:rPr>
          <w:rFonts w:ascii="Times New Roman" w:hAnsi="Times New Roman"/>
          <w:color w:val="000000"/>
          <w:sz w:val="22"/>
        </w:rPr>
        <w:t xml:space="preserve">or otherwise, the Borrower shall immediately repay Swingline Loans and Revolving Loans in an amount equal to such excess, together with all accrued and unpaid interest on such excess amount and any amounts due under </w:t>
      </w:r>
      <w:r>
        <w:rPr>
          <w:rFonts w:ascii="Times New Roman" w:hAnsi="Times New Roman"/>
          <w:color w:val="000000"/>
          <w:sz w:val="22"/>
          <w:u w:val="single"/>
        </w:rPr>
        <w:t>Section 2.19</w:t>
      </w:r>
      <w:r>
        <w:rPr>
          <w:rFonts w:ascii="Times New Roman" w:hAnsi="Times New Roman"/>
          <w:color w:val="000000"/>
          <w:sz w:val="22"/>
        </w:rPr>
        <w:t>. Each prepayment shall be applied first to the Swingline Loans to the full extent thereof, second to the Base Rate Loans to the full extent thereof, and finally to SOFR Loans to the full extent thereof. If after giving effect to prepayment of all Swingline Loans and Revolving Loans, the Revolving Credit Exposure of all Lenders exceeds the Aggregate Revolving Commitments, the Borrower shall Cash Collateralize its reimbursement obligations with respect to all Letters of Credit in an amount equal to such excess plus any accrued and unpaid fees thereon.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the event and on each occasion that any Net Cash Proceeds are received by or on behalf of Holdings or any of its Subsidiaries in respect of any Prepayment Event, the Borrower shall, within five (5) Business Days after such Net Cash Proceeds are received (or, in the case of a Prepayment Event described in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of the definition of “Prepayment Event”, on the date of such Prepayment Event) prepay the Term Loans in accordance with </w:t>
      </w:r>
      <w:r>
        <w:rPr>
          <w:rFonts w:ascii="Times New Roman" w:hAnsi="Times New Roman"/>
          <w:color w:val="000000"/>
          <w:sz w:val="22"/>
          <w:u w:val="single"/>
        </w:rPr>
        <w:t>Section 2.12(c)</w:t>
      </w:r>
      <w:r>
        <w:rPr>
          <w:color w:val="000000"/>
        </w:rPr>
        <w:t xml:space="preserve"> </w:t>
      </w:r>
      <w:r>
        <w:rPr>
          <w:rFonts w:ascii="Times New Roman" w:hAnsi="Times New Roman"/>
          <w:color w:val="000000"/>
          <w:sz w:val="22"/>
        </w:rPr>
        <w:t xml:space="preserve">in an amount equal to such Net Cash Proceeds;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in the case of any event described in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of the definition of “Prepayment Event” and so long as no Default or Event of Default shall have occurred and be continuing and at the election of Holdings (as notified by Holdings to the Administrative Agent), such Net Cash Proceeds shall not be required to be applied to the Term Loans to the extent such Net Cash Proceeds are reinvested or committed to be reinvested in assets (excluding current assets as classified in accordance with GAAP) used or useful in the business of Holdings and its Subsidiaries within twelve (12) months after the receipt of such Net Cash Proceeds and, if committed to be reinvested prior to the expiration of such twelve (12) month period, actually reinvested in assets (excluding current assets as classified in accordance with GAAP) within six (6) months after the expiration of such twelve (12) month period;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such Net Cash Proceeds shall not have been so reinvested, such prepayment shall be due promptly (and in any event within one (1) Business Day) upon the expiration of the applicable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prepayments made by the Borrower pursuant to </w:t>
      </w:r>
      <w:r>
        <w:rPr>
          <w:rFonts w:ascii="Times New Roman" w:hAnsi="Times New Roman"/>
          <w:color w:val="000000"/>
          <w:sz w:val="22"/>
          <w:u w:val="single"/>
        </w:rPr>
        <w:t>Section 2.12(b)</w:t>
      </w:r>
      <w:r>
        <w:rPr>
          <w:color w:val="000000"/>
        </w:rPr>
        <w:t xml:space="preserve"> </w:t>
      </w:r>
      <w:r>
        <w:rPr>
          <w:rFonts w:ascii="Times New Roman" w:hAnsi="Times New Roman"/>
          <w:color w:val="000000"/>
          <w:sz w:val="22"/>
        </w:rPr>
        <w:t>shall be applied to the principal balance of the Term Loan A and to the extent required by the terms of any then-existing Incremental Term Facility, such Incremental Term Facility, on a pro rata basis (except to the extent any such Incremental Term Facility requires prepayments that are less than pro rata) until the same shall have been paid in full, pro rata to the Lenders based on their Pro Rata Shares thereof, and to the remaining principal installments thereof (including the bullet payment on the Maturity Date) in inverse order of maturity.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any other provisions of </w:t>
      </w:r>
      <w:r>
        <w:rPr>
          <w:rFonts w:ascii="Times New Roman" w:hAnsi="Times New Roman"/>
          <w:color w:val="000000"/>
          <w:sz w:val="22"/>
          <w:u w:val="single"/>
        </w:rPr>
        <w:t>Section 2.12(b)</w:t>
      </w:r>
      <w:r>
        <w:rPr>
          <w:rFonts w:ascii="Times New Roman" w:hAnsi="Times New Roman"/>
          <w:color w:val="000000"/>
          <w:sz w:val="22"/>
        </w:rPr>
        <w:t xml:space="preserve">, (i) to the extent that any of or all the Net Cash Proceeds of any Prepayment Event set forth in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of the definition thereof by a Foreign Subsidiary giving rise to a prepayment pursuant to </w:t>
      </w:r>
      <w:r>
        <w:rPr>
          <w:rFonts w:ascii="Times New Roman" w:hAnsi="Times New Roman"/>
          <w:color w:val="000000"/>
          <w:sz w:val="22"/>
          <w:u w:val="single"/>
        </w:rPr>
        <w:t>Section 2.12(b)</w:t>
      </w:r>
      <w:r>
        <w:rPr>
          <w:color w:val="000000"/>
        </w:rPr>
        <w:t xml:space="preserve"> </w:t>
      </w:r>
      <w:r>
        <w:rPr>
          <w:rFonts w:ascii="Times New Roman" w:hAnsi="Times New Roman"/>
          <w:color w:val="000000"/>
          <w:sz w:val="22"/>
        </w:rPr>
        <w:t>(a “</w:t>
      </w:r>
      <w:r>
        <w:rPr>
          <w:rFonts w:ascii="Times New Roman" w:hAnsi="Times New Roman"/>
          <w:color w:val="000000"/>
          <w:sz w:val="22"/>
          <w:u w:val="single"/>
        </w:rPr>
        <w:t>Foreign Prepayment Event</w:t>
      </w:r>
      <w:r>
        <w:rPr>
          <w:color w:val="000000"/>
        </w:rPr>
        <w:t>”</w:t>
      </w:r>
      <w:r>
        <w:rPr>
          <w:rFonts w:ascii="Times New Roman" w:hAnsi="Times New Roman"/>
          <w:color w:val="000000"/>
          <w:sz w:val="22"/>
        </w:rPr>
        <w:t xml:space="preserve">) are prohibited or delayed by any Law (including applicable local law) from being repatriated to Holdings, the portion of such Net Cash Proceeds so affected will not be required to be applied to repay Term Loans at the times provided in </w:t>
      </w:r>
      <w:r>
        <w:rPr>
          <w:rFonts w:ascii="Times New Roman" w:hAnsi="Times New Roman"/>
          <w:color w:val="000000"/>
          <w:sz w:val="22"/>
          <w:u w:val="single"/>
        </w:rPr>
        <w:t>Section 2.12(b)</w:t>
      </w:r>
      <w:r>
        <w:rPr>
          <w:color w:val="000000"/>
        </w:rPr>
        <w:t xml:space="preserve"> </w:t>
      </w:r>
      <w:r>
        <w:rPr>
          <w:rFonts w:ascii="Times New Roman" w:hAnsi="Times New Roman"/>
          <w:color w:val="000000"/>
          <w:sz w:val="22"/>
        </w:rPr>
        <w:t xml:space="preserve">and such amounts may be retained by the applicable Foreign Subsidiary so long, but only so long, as the applicable Law will not permit repatriation to Holdings (Holdings hereby agreeing to cause the applicable Foreign Subsidiary to promptly take all actions reasonably required by the applicable Law to permit such repatriation), and once such repatriation of any of such affected Net Cash Proceeds is permitted under the applicable Law, such repatriation will be promptly effected and such repatriated Net Cash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Proceeds will be promptly (and in any event not later than three (3) Business Days after such repatriation) applied (net of additional taxes payable or reserved against as a result thereof) to the repayment of the Term Loans pursuant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2.12(b)</w:t>
      </w:r>
      <w:r>
        <w:rPr>
          <w:color w:val="000000"/>
        </w:rPr>
        <w:t xml:space="preserve"> </w:t>
      </w:r>
      <w:r>
        <w:rPr>
          <w:rFonts w:ascii="Times New Roman" w:hAnsi="Times New Roman"/>
          <w:color w:val="000000"/>
          <w:sz w:val="22"/>
        </w:rPr>
        <w:t xml:space="preserve">and (ii) to the extent that and for so long as Holdings has determined in good faith that repatriation of any of or all the Net Cash Proceeds of any Foreign Prepayment Event would have an adverse tax consequence (taking into account any foreign tax credit or benefit actually realized in connection with such repatriation) with respect to such Net Cash Proceeds, the Net Cash Proceeds so affected will not be required to be applied to repay Term Loans at the times provided in </w:t>
      </w:r>
      <w:r>
        <w:rPr>
          <w:rFonts w:ascii="Times New Roman" w:hAnsi="Times New Roman"/>
          <w:color w:val="000000"/>
          <w:sz w:val="22"/>
          <w:u w:val="single"/>
        </w:rPr>
        <w:t>Section 2.12(b)</w:t>
      </w:r>
      <w:r>
        <w:rPr>
          <w:color w:val="000000"/>
        </w:rPr>
        <w:t xml:space="preserve"> </w:t>
      </w:r>
      <w:r>
        <w:rPr>
          <w:rFonts w:ascii="Times New Roman" w:hAnsi="Times New Roman"/>
          <w:color w:val="000000"/>
          <w:sz w:val="22"/>
        </w:rPr>
        <w:t xml:space="preserve">and such amounts may be retained by the applicable Foreign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when Holdings determines in good faith that repatriation of any of or all the Net Cash Proceeds of any Foreign Prepayment Event would no longer have an adverse tax consequence (taking into account any foreign tax credit or benefit actually realized in connection with such repatriation) with respect to such Net Cash Proceeds, such Net Cash Proceeds shall be promptly (and in any event not later than three (3) Business Days after such repatriation) applied (net of additional taxes payable or reserved against as a result thereof) to the repayment of the Term Loans pursuant to </w:t>
      </w:r>
      <w:r>
        <w:rPr>
          <w:rFonts w:ascii="Times New Roman" w:hAnsi="Times New Roman"/>
          <w:color w:val="000000"/>
          <w:sz w:val="22"/>
          <w:u w:val="single"/>
        </w:rPr>
        <w:t>Section 2.12(b)</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377" w:name="section_2_13_interest_on_loans_"/>
      <w:bookmarkEnd w:id="377"/>
      <w:r>
        <w:rPr>
          <w:rFonts w:ascii="Times New Roman" w:hAnsi="Times New Roman"/>
          <w:color w:val="000000"/>
          <w:sz w:val="22"/>
        </w:rPr>
        <w:t xml:space="preserve">Section 2.13 </w:t>
      </w:r>
      <w:r>
        <w:rPr>
          <w:rFonts w:ascii="Times New Roman" w:hAnsi="Times New Roman"/>
          <w:color w:val="000000"/>
          <w:sz w:val="22"/>
          <w:u w:val="single"/>
        </w:rPr>
        <w:t>Interest on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pay interest on (i) each Base Rate Loan at the Base Rate plus the Applicable Margin in effect from time to time and (ii) each SOFR Loan at Term SOFR for the applicable Interest Period in effect for such Loan plus the Applicable Margin in effect from time to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pay interest on each Swingline Loan at the Base Rate plus the Applicable Margin in effect from time to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pay interest on each Incremental Term Loan as provided in the definitive documentation establishing such Incremental Term Loan.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w:t>
      </w:r>
      <w:r>
        <w:rPr>
          <w:rFonts w:ascii="Times New Roman" w:hAnsi="Times New Roman"/>
          <w:color w:val="000000"/>
          <w:sz w:val="22"/>
          <w:u w:val="single"/>
        </w:rPr>
        <w:t>Sections 2.13(a)</w:t>
      </w:r>
      <w:r>
        <w:rPr>
          <w:rFonts w:ascii="Times New Roman" w:hAnsi="Times New Roman"/>
          <w:color w:val="000000"/>
          <w:sz w:val="22"/>
        </w:rPr>
        <w:t xml:space="preserve">, </w:t>
      </w:r>
      <w:r>
        <w:rPr>
          <w:rFonts w:ascii="Times New Roman" w:hAnsi="Times New Roman"/>
          <w:color w:val="000000"/>
          <w:sz w:val="22"/>
          <w:u w:val="single"/>
        </w:rPr>
        <w:t>2.13(b)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2.13(c)</w:t>
      </w:r>
      <w:r>
        <w:rPr>
          <w:rFonts w:ascii="Times New Roman" w:hAnsi="Times New Roman"/>
          <w:color w:val="000000"/>
          <w:sz w:val="22"/>
        </w:rPr>
        <w:t>, if a Specified Event of Default has occurred and is continuing, the Borrower shall pay interest (“</w:t>
      </w:r>
      <w:r>
        <w:rPr>
          <w:rFonts w:ascii="Times New Roman" w:hAnsi="Times New Roman"/>
          <w:color w:val="000000"/>
          <w:sz w:val="22"/>
          <w:u w:val="single"/>
        </w:rPr>
        <w:t>Default Interest</w:t>
      </w:r>
      <w:r>
        <w:rPr>
          <w:color w:val="000000"/>
        </w:rPr>
        <w:t>”</w:t>
      </w:r>
      <w:r>
        <w:rPr>
          <w:rFonts w:ascii="Times New Roman" w:hAnsi="Times New Roman"/>
          <w:color w:val="000000"/>
          <w:sz w:val="22"/>
        </w:rPr>
        <w:t>) with respect to all overdue amounts of principal and interest under (x) SOFR Loans at the rate per annum equal to two percent (2.00%) above the otherwise applicable interest rate for such SOFR Loans for the then-current Interest Period until the last day of such Interest Period, and (y) with respect to all Base Rate Loans (including those arising from the end of any Interest Period of any SOFR Loan) and all other Obligations hereunder (other than Loans), at the rate per annum equal to two percent (2.00%) above the otherwise applicable interest rate for Base Rate Loans.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Interest on the principal amount of all Loans shall accrue from and including the date such Loans are made to but excluding the date of any repayment thereof. Interest on all outstanding Base Rate Loans and Swingline Loans shall be payable quarterly in arrears on the last day of each March, June, September and December and on the Revolving Commitment Termination Date or the Maturity Date, as the case may be. Interest on all outstanding SOFR Loans shall be payable on the last day of each Interest Period applicable thereto, and, in the case of any SOFR Loans having an Interest Period in excess of three months, on each day which occurs every three months after the initial date of such Interest Period, and on the Revolving Commitment Termination Date or the Maturity Date, as the case may be. Interest on any Loan which is converted into a Loan of another Type or which is repaid or prepaid shall be payable on the date of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conversion or on the date of any such repayment or prepayment (on the amount repaid or prepaid) thereof. All Default Interest shall be payable on demand.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2.14 </w:t>
      </w:r>
      <w:r>
        <w:rPr>
          <w:rFonts w:ascii="Times New Roman" w:hAnsi="Times New Roman"/>
          <w:color w:val="000000"/>
          <w:sz w:val="22"/>
          <w:u w:val="single"/>
        </w:rPr>
        <w:t>Fees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pay to the Administrative Agent for its own account fees in the amounts and at the times previously agreed upon in writing by the Borrower and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The Borrower agrees to pay to the Administrative Agent for the account of each Lender a commitment fee (the “</w:t>
      </w:r>
      <w:r>
        <w:rPr>
          <w:rFonts w:ascii="Times New Roman" w:hAnsi="Times New Roman"/>
          <w:color w:val="000000"/>
          <w:sz w:val="22"/>
          <w:u w:val="single"/>
        </w:rPr>
        <w:t>Commitment Fee</w:t>
      </w:r>
      <w:r>
        <w:rPr>
          <w:color w:val="000000"/>
        </w:rPr>
        <w:t>”</w:t>
      </w:r>
      <w:r>
        <w:rPr>
          <w:rFonts w:ascii="Times New Roman" w:hAnsi="Times New Roman"/>
          <w:color w:val="000000"/>
          <w:sz w:val="22"/>
        </w:rPr>
        <w:t>), which shall accrue at the Applicable Margin on the average daily amount of the unused Revolving Commitment of such Lender during the Availability Period. For purposes of computing the Commitment Fee with respect to the Revolving Commitments, the Revolving Commitment of each Lender shall be deemed used to the extent of the outstanding Revolving Loans and LC Exposure, but not Swingline Exposure,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The Borrower agrees to pay (i) to the Administrative Agent, for the account of each Lender, a letter of credit fee with respect to its participation in each Letter of Credit (the “</w:t>
      </w:r>
      <w:r>
        <w:rPr>
          <w:rFonts w:ascii="Times New Roman" w:hAnsi="Times New Roman"/>
          <w:color w:val="000000"/>
          <w:sz w:val="22"/>
          <w:u w:val="single"/>
        </w:rPr>
        <w:t>Letter of Credit Fee</w:t>
      </w:r>
      <w:r>
        <w:rPr>
          <w:color w:val="000000"/>
        </w:rPr>
        <w:t>”</w:t>
      </w:r>
      <w:r>
        <w:rPr>
          <w:rFonts w:ascii="Times New Roman" w:hAnsi="Times New Roman"/>
          <w:color w:val="000000"/>
          <w:sz w:val="22"/>
        </w:rPr>
        <w:t xml:space="preserve">), which shall accrue at a rate per annum equal to the Applicable Margin then in effect on the average daily amount of such Lender’s LC Exposure attributable to such Letter of Credit during the period from and including the Closing Date to and including the later of the Revolving Commitment Termination Date and the date on which such Lender ceases to have any LC Exposure (including any LC Exposure that remains outstanding after the Revolving Commitment Termination Date) and (ii) to the Issuing Bank for its own account a fronting fee, which shall accrue at the rate 0.125% per annum on the average daily amount of the LC Exposure (excluding any portion thereof attributable to unreimbursed LC Disbursements) during the period from the Closing Date to and including the later of the Revolving Commitment Termination Date and the date on which the Issuing Bank ceases to have any obligations (contingent or otherwise) to make any LC Disbursement in respect of any Letter of Credit, as well as the Issuing Bank’s standard fees with respect to issuance, amendment, renewal or extension of any Letter of Credit or processing of drawings thereunder. Notwithstanding the foregoing, if the Default Interest has been imposed pursuant to </w:t>
      </w:r>
      <w:r>
        <w:rPr>
          <w:rFonts w:ascii="Times New Roman" w:hAnsi="Times New Roman"/>
          <w:color w:val="000000"/>
          <w:sz w:val="22"/>
          <w:u w:val="single"/>
        </w:rPr>
        <w:t>Section 2.13(c)</w:t>
      </w:r>
      <w:r>
        <w:rPr>
          <w:rFonts w:ascii="Times New Roman" w:hAnsi="Times New Roman"/>
          <w:color w:val="000000"/>
          <w:sz w:val="22"/>
        </w:rPr>
        <w:t xml:space="preserve">, the rate per annum used to calculate the letter of credit fee pursuant to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above shall automatically be increased by two percent (2.00%).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pay on the Closing Date to the Administrative Agent and its affiliates all fees in the Fee Letter that are due and payable on the Closing Date. The Borrower shall pay on the Closing Date to the Lenders all upfront fees previously agreed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Accrued fees under </w:t>
      </w:r>
      <w:r>
        <w:rPr>
          <w:rFonts w:ascii="Times New Roman" w:hAnsi="Times New Roman"/>
          <w:color w:val="000000"/>
          <w:sz w:val="22"/>
          <w:u w:val="single"/>
        </w:rPr>
        <w:t>Sections 2.14(b)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2.14(c)</w:t>
      </w:r>
      <w:r>
        <w:rPr>
          <w:color w:val="000000"/>
        </w:rPr>
        <w:t xml:space="preserve"> </w:t>
      </w:r>
      <w:r>
        <w:rPr>
          <w:rFonts w:ascii="Times New Roman" w:hAnsi="Times New Roman"/>
          <w:color w:val="000000"/>
          <w:sz w:val="22"/>
        </w:rPr>
        <w:t xml:space="preserve">above shall be payable quarterly in arrears on the last day of each March, June, September and December, commencing on the first such date to occur after the Closing Date and on the Revolving Commitment Termination Date (and if later, the date the Loans and LC Exposure shall be repaid in their entirety);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any such fees accruing after the Revolving Commitment Termination Date shall be payable on demand.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78" w:name="section_2_15_computation_of_interest_and"/>
      <w:bookmarkEnd w:id="378"/>
      <w:r>
        <w:rPr>
          <w:rFonts w:ascii="Times New Roman" w:hAnsi="Times New Roman"/>
          <w:color w:val="000000"/>
          <w:sz w:val="22"/>
        </w:rPr>
        <w:t xml:space="preserve">Section 2.15 </w:t>
      </w:r>
      <w:r>
        <w:rPr>
          <w:rFonts w:ascii="Times New Roman" w:hAnsi="Times New Roman"/>
          <w:color w:val="000000"/>
          <w:sz w:val="22"/>
          <w:u w:val="single"/>
        </w:rPr>
        <w:t>Computation of Interest and Fees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pStyle w:val="TextBody"/>
        <w:bidi w:val="0"/>
        <w:spacing w:before="240" w:after="283"/>
        <w:jc w:val="both"/>
        <w:rPr>
          <w:rFonts w:ascii="Times New Roman" w:hAnsi="Times New Roman"/>
          <w:sz w:val="20"/>
        </w:rPr>
      </w:pPr>
      <w:bookmarkStart w:id="379" w:name="section_2_16_inability_to_determine_sofr"/>
      <w:bookmarkEnd w:id="379"/>
      <w:r>
        <w:rPr>
          <w:rFonts w:ascii="Times New Roman" w:hAnsi="Times New Roman"/>
          <w:color w:val="000000"/>
          <w:sz w:val="22"/>
        </w:rPr>
        <w:t xml:space="preserve">Section 2.16 </w:t>
      </w:r>
      <w:r>
        <w:rPr>
          <w:rFonts w:ascii="Times New Roman" w:hAnsi="Times New Roman"/>
          <w:color w:val="000000"/>
          <w:sz w:val="22"/>
          <w:u w:val="single"/>
        </w:rPr>
        <w:t>Inability to Determine SOFR</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Subject to </w:t>
      </w:r>
      <w:r>
        <w:rPr>
          <w:rFonts w:ascii="Times New Roman" w:hAnsi="Times New Roman"/>
          <w:color w:val="000000"/>
          <w:sz w:val="22"/>
          <w:u w:val="single"/>
        </w:rPr>
        <w:t>Sections 2.16(b)</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2.16(f)</w:t>
      </w:r>
      <w:r>
        <w:rPr>
          <w:rFonts w:ascii="Times New Roman" w:hAnsi="Times New Roman"/>
          <w:color w:val="000000"/>
          <w:sz w:val="22"/>
        </w:rPr>
        <w:t>, if, prior to the commencement of any Interest Period for any SOFR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have determined (which determination shall be conclusive absent manifest error) that “Term SOFR” cannot be determined pursuant to the definition thereof,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have received notice from the Required Lenders that Term SOFR for such Interest Period will not adequately and fairly reflect the cost to such Lenders of making, funding or maintaining their SOFR Loans for such Interest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then the Administrative Agent shall give written notice thereof (or telephonic notice, promptly confirmed in writing) to the Borrower and to the Lenders as soon as practicable thereafter. 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Times New Roman" w:hAnsi="Times New Roman"/>
          <w:color w:val="000000"/>
          <w:sz w:val="22"/>
          <w:u w:val="single"/>
        </w:rPr>
        <w:t>Section 2.19</w:t>
      </w:r>
      <w:r>
        <w:rPr>
          <w:rFonts w:ascii="Times New Roman" w:hAnsi="Times New Roman"/>
          <w:color w:val="000000"/>
          <w:sz w:val="22"/>
        </w:rPr>
        <w:t xml:space="preserve">. Subject to </w:t>
      </w:r>
      <w:r>
        <w:rPr>
          <w:rFonts w:ascii="Times New Roman" w:hAnsi="Times New Roman"/>
          <w:color w:val="000000"/>
          <w:sz w:val="22"/>
          <w:u w:val="single"/>
        </w:rPr>
        <w:t>Sections 2.16(b)</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2.16(f)</w:t>
      </w:r>
      <w:r>
        <w:rPr>
          <w:rFonts w:ascii="Times New Roman" w:hAnsi="Times New Roman"/>
          <w:color w:val="000000"/>
          <w:sz w:val="22"/>
        </w:rPr>
        <w:t xml:space="preserve">,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“Base Rate” until the Administrative Agent revokes such determination.</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Benchmark Replacement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based on Daily Simple SOFR, all interest payments will be payable on a quarterly basis.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No swap agreement shall be deemed to be a “Loan Document” for purposes of this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Conforming Changes</w:t>
      </w:r>
      <w:r>
        <w:rPr>
          <w:rFonts w:ascii="Times New Roman" w:hAnsi="Times New Roman"/>
          <w:color w:val="000000"/>
          <w:sz w:val="22"/>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Notices; Standards for Decisions and Determinations</w:t>
      </w:r>
      <w:r>
        <w:rPr>
          <w:rFonts w:ascii="Times New Roman" w:hAnsi="Times New Roman"/>
          <w:color w:val="000000"/>
          <w:sz w:val="22"/>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hAnsi="Times New Roman"/>
          <w:color w:val="000000"/>
          <w:sz w:val="22"/>
          <w:u w:val="single"/>
        </w:rPr>
        <w:t>Section 2.16(e)</w:t>
      </w:r>
      <w:r>
        <w:rPr>
          <w:color w:val="000000"/>
        </w:rPr>
        <w:t xml:space="preserve"> </w:t>
      </w:r>
      <w:r>
        <w:rPr>
          <w:rFonts w:ascii="Times New Roman" w:hAnsi="Times New Roman"/>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2.16</w:t>
      </w:r>
      <w:r>
        <w:rPr>
          <w:rFonts w:ascii="Times New Roman" w:hAnsi="Times New Roman"/>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2.16</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Unavailability of Tenor of Benchmark</w:t>
      </w:r>
      <w:r>
        <w:rPr>
          <w:rFonts w:ascii="Times New Roman" w:hAnsi="Times New Roman"/>
          <w:color w:val="000000"/>
          <w:sz w:val="22"/>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Benchmark Unavailability Period</w:t>
      </w:r>
      <w:r>
        <w:rPr>
          <w:rFonts w:ascii="Times New Roman" w:hAnsi="Times New Roman"/>
          <w:color w:val="000000"/>
          <w:sz w:val="22"/>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240" w:after="283"/>
        <w:jc w:val="both"/>
        <w:rPr>
          <w:rFonts w:ascii="Times New Roman" w:hAnsi="Times New Roman"/>
          <w:sz w:val="20"/>
        </w:rPr>
      </w:pPr>
      <w:bookmarkStart w:id="380" w:name="section_2_17_illegality___if_any_change_"/>
      <w:bookmarkEnd w:id="380"/>
      <w:r>
        <w:rPr>
          <w:rFonts w:ascii="Times New Roman" w:hAnsi="Times New Roman"/>
          <w:color w:val="000000"/>
          <w:sz w:val="22"/>
        </w:rPr>
        <w:t xml:space="preserve">Section 2.17 </w:t>
      </w:r>
      <w:r>
        <w:rPr>
          <w:rFonts w:ascii="Times New Roman" w:hAnsi="Times New Roman"/>
          <w:color w:val="000000"/>
          <w:sz w:val="22"/>
          <w:u w:val="single"/>
        </w:rPr>
        <w:t>Illegality</w:t>
      </w:r>
      <w:r>
        <w:rPr>
          <w:rFonts w:ascii="Times New Roman" w:hAnsi="Times New Roman"/>
          <w:color w:val="000000"/>
          <w:sz w:val="22"/>
        </w:rPr>
        <w:t xml:space="preserve">. If any Change in Law shall make it unlawful or impossible for any Lender to perform any of its obligations hereunder, to make, maintain or fund any SOFR Loan or to or to determine or charge interest rates based upon SOFR, the Term SOFR Reference Rate or Term SOFR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(i) the obligation of such Lender to make SOFR Loans, or to continue or convert outstanding Loans as or into SOFR Loans, shall be suspended and (ii) the Base Rate shall, if necessary to avoid such illegality, be determined by the Administrative Agent without reference to clause (c) thereof. In the case of the making of a SOFR Borrowing, such Lender’s Revolving Loan shall be made as a Base Rate Loan as part of the same Revolving Borrowing for the same Interest Period and, if the affected SOFR Loan is then outstanding, such Loan shall be converted to a Base Rate Loan either (i) on the last day of the then current Interest Period applicable to such SOFR Loan if such Lender may lawfully continue to maintain such Loan to such date or (ii) immediately if such Lender shall determine that it may not lawfully continue to maintain such SOFR Loan to such date (and in each instance the Base Rate shall, if necessary to avoid such illegality, bet determined by the Administrative Agent without reference to clause (c) thereof).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381" w:name="section_2_18_increased_costs_"/>
      <w:bookmarkEnd w:id="381"/>
      <w:r>
        <w:rPr>
          <w:rFonts w:ascii="Times New Roman" w:hAnsi="Times New Roman"/>
          <w:color w:val="000000"/>
          <w:sz w:val="22"/>
        </w:rPr>
        <w:t xml:space="preserve">Section 2.18 </w:t>
      </w:r>
      <w:r>
        <w:rPr>
          <w:rFonts w:ascii="Times New Roman" w:hAnsi="Times New Roman"/>
          <w:color w:val="000000"/>
          <w:sz w:val="22"/>
          <w:u w:val="single"/>
        </w:rPr>
        <w:t>Increased Costs.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Change in Law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the Issuing Bank;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subject any Recipient to any Taxes (other than (A) Indemnified Taxes, (B) Taxes described in clauses (b) through </w:t>
      </w:r>
      <w:r>
        <w:rPr>
          <w:rFonts w:ascii="Times New Roman" w:hAnsi="Times New Roman"/>
          <w:color w:val="000000"/>
          <w:sz w:val="22"/>
          <w:u w:val="single"/>
        </w:rPr>
        <w:t>(d)</w:t>
      </w:r>
      <w:r>
        <w:rPr>
          <w:color w:val="000000"/>
        </w:rPr>
        <w:t xml:space="preserve"> </w:t>
      </w:r>
      <w:r>
        <w:rPr>
          <w:rFonts w:ascii="Times New Roman" w:hAnsi="Times New Roman"/>
          <w:color w:val="000000"/>
          <w:sz w:val="22"/>
        </w:rPr>
        <w:t>of the definition of “Excluded Taxes” and (C) Connection Income Taxes) on its loans, loan principal, letters of credit, commitments, or other obligations, or its deposits, reserves, other liabilities or capital attributable thereto;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impose on any Lender or the Issuing Bank any other condition, cost or expense (other than Taxes) affecting this Agreement or Loans made by such Lender or any Letter of Credit or participation in any such Letter of Credit;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bookmarkStart w:id="382" w:name="and_the_result_of_any_of_the_foregoing_i"/>
      <w:bookmarkEnd w:id="382"/>
      <w:r>
        <w:rPr>
          <w:rFonts w:ascii="Times New Roman" w:hAnsi="Times New Roman"/>
          <w:color w:val="000000"/>
          <w:sz w:val="22"/>
        </w:rPr>
        <w:t>and the result of any of the foregoing is to increase the cost to such Lender of making, converting into, continuing or maintaining a SOFR Loan or to increase the cost to such Lender or the Issuing Bank of participating in or issuing any Letter of Credit or to reduce the amount received or receivable by such Lender or the Issuing Bank hereunder (whether of principal, interest or any other amount), then, from time to time, such Lender or the Issuing Bank may provide the Borrower (with a copy thereof to the Administrative Agent) with written notice and demand with respect to such increased costs or reduced amounts, and within five (5) Business Days after receipt of such notice and demand, the Borrower shall pay to such Lender or the Issuing Bank, as the case may be, such additional amounts as will compensate such Lender or the Issuing Bank for any such increased costs incurred or reduction suffered.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If any Lender or the Issuing Bank shall have determined that any Change in Law regarding capital or liquidity ratios or requirements has or would have the effect of reducing the rate of return on such Lender’s or the Issuing Bank’s capital (or on the capital of the Parent Company of such Lender or the Issuing Bank) as a consequence of its obligations hereunder or under or in respect of any Letter of Credit to a level below that which such Lender, the Issuing Bank or such Parent Company could have achieved but for such Change in Law (taking into consideration such Lender’s or the Issuing Bank’s policies or the policies of such Parent Company with respect to capital adequacy and liquidity), then, from time to time, such Lender or the Issuing Bank may provide the Borrower (with a copy thereof to the Administrative Agent) with written notice and demand with respect to such reduced amounts, and within five (5) Business Days after receipt of such notice and demand the Borrower shall pay to such Lender or the Issuing Bank, as the case may be, such additional amounts as will compensate such Lender, the Issuing Bank or such Parent Company for any such reduction suffered</w:t>
      </w:r>
      <w:r>
        <w:rPr>
          <w:rFonts w:ascii="Times New Roman" w:hAnsi="Times New Roman"/>
          <w:b/>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 certificate of a Lender or the Issuing Bank setting forth the amount or amounts necessary to compensate such Lender, the Issuing Bank or the Parent Company of such Lender or the Issuing Bank, as the case may be, specified in </w:t>
      </w:r>
      <w:r>
        <w:rPr>
          <w:rFonts w:ascii="Times New Roman" w:hAnsi="Times New Roman"/>
          <w:color w:val="000000"/>
          <w:sz w:val="22"/>
          <w:u w:val="single"/>
        </w:rPr>
        <w:t>Sections 2.18(a)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2.18(b)</w:t>
      </w:r>
      <w:r>
        <w:rPr>
          <w:color w:val="000000"/>
        </w:rPr>
        <w:t xml:space="preserve"> </w:t>
      </w:r>
      <w:r>
        <w:rPr>
          <w:rFonts w:ascii="Times New Roman" w:hAnsi="Times New Roman"/>
          <w:color w:val="000000"/>
          <w:sz w:val="22"/>
        </w:rPr>
        <w:t>shall be delivered to the Borrower (with a copy to the Administrative Agent) and shall be conclusive, absent manifest error. The Borrower shall pay any such Lender or the Issuing Bank, as the case may be, such amount or amounts within five (5) Business Days after receipt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Failure or delay on the part of any Lender or the Issuing Bank to demand compensation pursuant to this </w:t>
      </w:r>
      <w:r>
        <w:rPr>
          <w:rFonts w:ascii="Times New Roman" w:hAnsi="Times New Roman"/>
          <w:color w:val="000000"/>
          <w:sz w:val="22"/>
          <w:u w:val="single"/>
        </w:rPr>
        <w:t>Section 2.18</w:t>
      </w:r>
      <w:r>
        <w:rPr>
          <w:color w:val="000000"/>
        </w:rPr>
        <w:t xml:space="preserve"> </w:t>
      </w:r>
      <w:r>
        <w:rPr>
          <w:rFonts w:ascii="Times New Roman" w:hAnsi="Times New Roman"/>
          <w:color w:val="000000"/>
          <w:sz w:val="22"/>
        </w:rPr>
        <w:t>shall not constitute a waiver of such Lender’s or the Issuing Bank’s right to demand such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83" w:name="section_2_19_funding_indemnity___in_the_"/>
      <w:bookmarkEnd w:id="383"/>
      <w:r>
        <w:rPr>
          <w:rFonts w:ascii="Times New Roman" w:hAnsi="Times New Roman"/>
          <w:color w:val="000000"/>
          <w:sz w:val="22"/>
        </w:rPr>
        <w:t xml:space="preserve">Section 2.19 </w:t>
      </w:r>
      <w:r>
        <w:rPr>
          <w:rFonts w:ascii="Times New Roman" w:hAnsi="Times New Roman"/>
          <w:color w:val="000000"/>
          <w:sz w:val="22"/>
          <w:u w:val="single"/>
        </w:rPr>
        <w:t>Funding Indemnity</w:t>
      </w:r>
      <w:r>
        <w:rPr>
          <w:rFonts w:ascii="Times New Roman" w:hAnsi="Times New Roman"/>
          <w:color w:val="000000"/>
          <w:sz w:val="22"/>
        </w:rPr>
        <w:t xml:space="preserve">. In the event of (a) the payment of any principal of a SOFR Loan other than on the last day of the Interest Period applicable thereto (including as a result of an Event of Default), (b) the conversion or continuation of a SOFR Loan other than on the last day of the Interest Period applicable thereto, or (c) the failure by the Borrower to borrow, prepay, convert or continue any SOFR Loan on the date specified in any applicable notice (regardless of whether such notice is withdrawn or revoked), then, in any such event, the Borrower shall compensate each Lender, within five (5) Business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Term SOFR applicable to such SOFR Loan for the period from the date of such event to the last day of the then current Interest Period therefor (or, in the case of a failure to borrow, convert or continue, for the period that would have been the Interest Period for such SOFR Loan) over (B) the amount of interest that would accrue on the principal amount of such SOFR Loan for the same period if Term SOFR were set on the date such SOFR Loan was prepaid or converted or the date on which the Borrower failed to borrow, convert or continue such SOFR Loan. A certificate as to any additional amount payable under this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submitted to the Borrower by any Lender (with a copy to the Administrative Agent) shall be conclusive, absent manifest error.</w:t>
      </w:r>
    </w:p>
    <w:p>
      <w:pPr>
        <w:pStyle w:val="TextBody"/>
        <w:bidi w:val="0"/>
        <w:spacing w:before="240" w:after="283"/>
        <w:jc w:val="both"/>
        <w:rPr>
          <w:rFonts w:ascii="Times New Roman" w:hAnsi="Times New Roman"/>
          <w:sz w:val="20"/>
        </w:rPr>
      </w:pPr>
      <w:bookmarkStart w:id="384" w:name="section_2_20_taxes_"/>
      <w:bookmarkEnd w:id="384"/>
      <w:r>
        <w:rPr>
          <w:rFonts w:ascii="Times New Roman" w:hAnsi="Times New Roman"/>
          <w:color w:val="000000"/>
          <w:sz w:val="22"/>
        </w:rPr>
        <w:t xml:space="preserve">Section 2.20 </w:t>
      </w:r>
      <w:r>
        <w:rPr>
          <w:rFonts w:ascii="Times New Roman" w:hAnsi="Times New Roman"/>
          <w:color w:val="000000"/>
          <w:sz w:val="22"/>
          <w:u w:val="single"/>
        </w:rPr>
        <w:t>Taxes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Defined Terms</w:t>
      </w:r>
      <w:r>
        <w:rPr>
          <w:rFonts w:ascii="Times New Roman" w:hAnsi="Times New Roman"/>
          <w:color w:val="000000"/>
          <w:sz w:val="22"/>
        </w:rPr>
        <w:t xml:space="preserve">. For purposes of this </w:t>
      </w:r>
      <w:r>
        <w:rPr>
          <w:rFonts w:ascii="Times New Roman" w:hAnsi="Times New Roman"/>
          <w:color w:val="000000"/>
          <w:sz w:val="22"/>
          <w:u w:val="single"/>
        </w:rPr>
        <w:t>Section 2.20</w:t>
      </w:r>
      <w:r>
        <w:rPr>
          <w:rFonts w:ascii="Times New Roman" w:hAnsi="Times New Roman"/>
          <w:color w:val="000000"/>
          <w:sz w:val="22"/>
        </w:rPr>
        <w:t>, the term “Lender” includes the Issuing Bank and the term “applicable Law” includes FATCA.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Payments Free of Taxes</w:t>
      </w:r>
      <w:r>
        <w:rPr>
          <w:rFonts w:ascii="Times New Roman" w:hAnsi="Times New Roman"/>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hAnsi="Times New Roman"/>
          <w:color w:val="000000"/>
          <w:sz w:val="22"/>
          <w:u w:val="single"/>
        </w:rPr>
        <w:t>Section 2.20</w:t>
      </w:r>
      <w:r>
        <w:rPr>
          <w:rFonts w:ascii="Times New Roman" w:hAnsi="Times New Roman"/>
          <w:color w:val="000000"/>
          <w:sz w:val="22"/>
        </w:rPr>
        <w:t>) the applicable Recipient receives an amount equal to the sum it would have received had no such deduction or withholding been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Payment of Other Taxes by the Loan Parties</w:t>
      </w:r>
      <w:r>
        <w:rPr>
          <w:rFonts w:ascii="Times New Roman" w:hAnsi="Times New Roman"/>
          <w:color w:val="000000"/>
          <w:sz w:val="22"/>
        </w:rPr>
        <w:t>. In addition, the Loan Parties shall timely pay to the relevant Governmental Authority in accordance with applicable Law, or at the option of the Administrative Agent timely reimburse it for the payment of, any Other Taxes.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Indemnification by the Loan Parties</w:t>
      </w:r>
      <w:r>
        <w:rPr>
          <w:rFonts w:ascii="Times New Roman" w:hAnsi="Times New Roman"/>
          <w:color w:val="000000"/>
          <w:sz w:val="22"/>
        </w:rPr>
        <w:t xml:space="preserve">. The Loan Parties shall jointly and severally indemnify each Recipient, within ten (10) Business Days after demand therefor, for the full amount of any Indemnified Taxes (including Indemnified Taxes imposed or asserted on or attributable to amounts payable under this </w:t>
      </w:r>
      <w:r>
        <w:rPr>
          <w:rFonts w:ascii="Times New Roman" w:hAnsi="Times New Roman"/>
          <w:color w:val="000000"/>
          <w:sz w:val="22"/>
          <w:u w:val="single"/>
        </w:rPr>
        <w:t>Section 2.20</w:t>
      </w:r>
      <w:r>
        <w:rPr>
          <w:rFonts w:ascii="Times New Roman" w:hAnsi="Times New Roman"/>
          <w:color w:val="000000"/>
          <w:sz w:val="22"/>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Indemnification by the Lenders</w:t>
      </w:r>
      <w:r>
        <w:rPr>
          <w:rFonts w:ascii="Times New Roman" w:hAnsi="Times New Roman"/>
          <w:color w:val="000000"/>
          <w:sz w:val="22"/>
        </w:rPr>
        <w:t xml:space="preserve">. Each Lender shall severally indemnify the Administrative Agent, within ten (10) Business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hAnsi="Times New Roman"/>
          <w:color w:val="000000"/>
          <w:sz w:val="22"/>
          <w:u w:val="single"/>
        </w:rPr>
        <w:t>Section 11.4(e)</w:t>
      </w:r>
      <w:r>
        <w:rPr>
          <w:color w:val="000000"/>
        </w:rPr>
        <w:t xml:space="preserve"> </w:t>
      </w:r>
      <w:r>
        <w:rPr>
          <w:rFonts w:ascii="Times New Roman" w:hAnsi="Times New Roman"/>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2"/>
          <w:u w:val="single"/>
        </w:rPr>
        <w:t>Section 2.20(e)</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Evidence of Payments</w:t>
      </w:r>
      <w:r>
        <w:rPr>
          <w:rFonts w:ascii="Times New Roman" w:hAnsi="Times New Roman"/>
          <w:color w:val="000000"/>
          <w:sz w:val="22"/>
        </w:rPr>
        <w:t xml:space="preserve">. As soon as practicable after any payment of Taxes by any Loan Party to a Governmental Authority pursuant to this </w:t>
      </w:r>
      <w:r>
        <w:rPr>
          <w:rFonts w:ascii="Times New Roman" w:hAnsi="Times New Roman"/>
          <w:color w:val="000000"/>
          <w:sz w:val="22"/>
          <w:u w:val="single"/>
        </w:rPr>
        <w:t>Section 2.20</w:t>
      </w:r>
      <w:r>
        <w:rPr>
          <w:rFonts w:ascii="Times New Roman" w:hAnsi="Times New Roman"/>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Status of Lenders</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Sections</w:t>
      </w:r>
      <w:r>
        <w:rPr>
          <w:color w:val="000000"/>
        </w:rPr>
        <w:t xml:space="preserve"> </w:t>
      </w:r>
      <w:r>
        <w:rPr>
          <w:rFonts w:ascii="Times New Roman" w:hAnsi="Times New Roman"/>
          <w:color w:val="000000"/>
          <w:sz w:val="22"/>
          <w:u w:val="single"/>
        </w:rPr>
        <w:t>2.20(g)(ii)(A)</w:t>
      </w:r>
      <w:r>
        <w:rPr>
          <w:rFonts w:ascii="Times New Roman" w:hAnsi="Times New Roman"/>
          <w:color w:val="000000"/>
          <w:sz w:val="22"/>
        </w:rPr>
        <w:t xml:space="preserve">, </w:t>
      </w:r>
      <w:r>
        <w:rPr>
          <w:rFonts w:ascii="Times New Roman" w:hAnsi="Times New Roman"/>
          <w:color w:val="000000"/>
          <w:sz w:val="22"/>
          <w:u w:val="single"/>
        </w:rPr>
        <w:t>2.20(g)(ii)(B)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2.20(g) (ii)(D)</w:t>
      </w:r>
      <w:r>
        <w:rPr>
          <w:rFonts w:ascii="Times New Roman" w:hAnsi="Times New Roman"/>
          <w:color w:val="000000"/>
          <w:sz w:val="22"/>
        </w:rPr>
        <w:t>) shall not be required if in the Lender’s reasonable judgment such completion, execution or submission would subject such Lender to any material unreimbursed cost or expense or would materially prejudice the legal or commercial position of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generality of the foregoing, in the event that the Borrower is a U.S.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Lender that is a U.S. Person shall deliver to the Borrower and the Administrative Agent on or prior to the date on which such Lender becomes a Lender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 Foreign Lender claiming the benefits of an income tax treaty to which the United States is a party (x) with respect to payments of interest under any Loan Document, an executed copy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executed copy of IRS Form W-8ECI (or any successor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2.20-1</w:t>
      </w:r>
      <w:r>
        <w:rPr>
          <w:color w:val="000000"/>
        </w:rPr>
        <w:t xml:space="preserve"> </w:t>
      </w:r>
      <w:r>
        <w:rPr>
          <w:rFonts w:ascii="Times New Roman" w:hAnsi="Times New Roman"/>
          <w:color w:val="000000"/>
          <w:sz w:val="22"/>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color w:val="000000"/>
          <w:sz w:val="22"/>
          <w:u w:val="single"/>
        </w:rPr>
        <w:t>U.S. Tax Compliance Certificate</w:t>
      </w:r>
      <w:r>
        <w:rPr>
          <w:color w:val="000000"/>
        </w:rPr>
        <w:t>”</w:t>
      </w:r>
      <w:r>
        <w:rPr>
          <w:rFonts w:ascii="Times New Roman" w:hAnsi="Times New Roman"/>
          <w:color w:val="000000"/>
          <w:sz w:val="22"/>
        </w:rPr>
        <w:t>) and (y) an executed copy of IRS Form W-8BEN or IRS Form W-8BEN-E (or any successor thereto);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the extent a Foreign Lender is not the beneficial owner, an executed copy of IRS Form W-8IMY (or any successor thereto), accompanied by IRS Form W-8ECI, IRS Form W-8BEN or IRS Form W-8BEN-E, a U.S. Tax Compliance Certificate substantially in the form of </w:t>
      </w:r>
      <w:r>
        <w:rPr>
          <w:rFonts w:ascii="Times New Roman" w:hAnsi="Times New Roman"/>
          <w:color w:val="000000"/>
          <w:sz w:val="22"/>
          <w:u w:val="single"/>
        </w:rPr>
        <w:t>Exhibit 2.20-2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Exhibit 2.20-3</w:t>
      </w:r>
      <w:r>
        <w:rPr>
          <w:rFonts w:ascii="Times New Roman" w:hAnsi="Times New Roman"/>
          <w:color w:val="000000"/>
          <w:sz w:val="22"/>
        </w:rPr>
        <w:t xml:space="preserve">, IRS Form W-9, or other certification documents from each beneficial owner, as applicable;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2.20-4</w:t>
      </w:r>
      <w:r>
        <w:rPr>
          <w:color w:val="000000"/>
        </w:rPr>
        <w:t xml:space="preserve"> </w:t>
      </w:r>
      <w:r>
        <w:rPr>
          <w:rFonts w:ascii="Times New Roman" w:hAnsi="Times New Roman"/>
          <w:color w:val="000000"/>
          <w:sz w:val="22"/>
        </w:rPr>
        <w:t>on behalf of each such direct and indirect partner;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applicable Law to permit the Borrower or the Administrative Agent to determine the withholding or deduction required to be made;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color w:val="000000"/>
          <w:sz w:val="22"/>
          <w:u w:val="single"/>
        </w:rPr>
        <w:t>clause (D)</w:t>
      </w:r>
      <w:r>
        <w:rPr>
          <w:rFonts w:ascii="Times New Roman" w:hAnsi="Times New Roman"/>
          <w:color w:val="000000"/>
          <w:sz w:val="22"/>
        </w:rPr>
        <w:t>, “FATCA” shall include any amendments made to FATCA after the date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bookmarkStart w:id="385" w:name="each_lender_agrees_that_if_any_form_or_c"/>
      <w:bookmarkEnd w:id="385"/>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Treatment of Certain Refunds</w:t>
      </w:r>
      <w:r>
        <w:rPr>
          <w:rFonts w:ascii="Times New Roman" w:hAnsi="Times New Roman"/>
          <w:color w:val="000000"/>
          <w:sz w:val="22"/>
        </w:rPr>
        <w:t xml:space="preserve">. If any Recipient determines, in its sole discretion exercised in good faith, that it has received a refund of any Taxes as to which it has been indemnified pursuant to 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(including by the payment of additional amounts pursuant to this </w:t>
      </w:r>
      <w:r>
        <w:rPr>
          <w:rFonts w:ascii="Times New Roman" w:hAnsi="Times New Roman"/>
          <w:color w:val="000000"/>
          <w:sz w:val="22"/>
          <w:u w:val="single"/>
        </w:rPr>
        <w:t>Section 2.20</w:t>
      </w:r>
      <w:r>
        <w:rPr>
          <w:rFonts w:ascii="Times New Roman" w:hAnsi="Times New Roman"/>
          <w:color w:val="000000"/>
          <w:sz w:val="22"/>
        </w:rPr>
        <w:t xml:space="preserve">), it shall pay to the indemnifying party an amount equal to such refund (but only to the extent of indemnity payments made under 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Section 2.20(h)</w:t>
      </w:r>
      <w:r>
        <w:rPr>
          <w:color w:val="000000"/>
        </w:rPr>
        <w:t xml:space="preserve"> </w:t>
      </w:r>
      <w:r>
        <w:rPr>
          <w:rFonts w:ascii="Times New Roman" w:hAnsi="Times New Roman"/>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2.20(h)</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Section 2.20(h)</w:t>
      </w:r>
      <w:r>
        <w:rPr>
          <w:color w:val="000000"/>
        </w:rPr>
        <w:t xml:space="preserve"> </w:t>
      </w:r>
      <w:r>
        <w:rPr>
          <w:rFonts w:ascii="Times New Roman" w:hAnsi="Times New Roman"/>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2"/>
          <w:u w:val="single"/>
        </w:rPr>
        <w:t>Section 2.20(h)</w:t>
      </w:r>
      <w:r>
        <w:rPr>
          <w:color w:val="000000"/>
        </w:rPr>
        <w:t xml:space="preserve"> </w:t>
      </w:r>
      <w:r>
        <w:rPr>
          <w:rFonts w:ascii="Times New Roman" w:hAnsi="Times New Roman"/>
          <w:color w:val="000000"/>
          <w:sz w:val="22"/>
        </w:rPr>
        <w:t>shall not be construed to require any indemnified party to make available its Tax returns (or any other information relating to its Taxes that it deems confidential) to the indemnifying party or any other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Survival</w:t>
      </w:r>
      <w:r>
        <w:rPr>
          <w:rFonts w:ascii="Times New Roman" w:hAnsi="Times New Roman"/>
          <w:color w:val="000000"/>
          <w:sz w:val="22"/>
        </w:rPr>
        <w:t xml:space="preserve">. Each party’s obligations under 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386" w:name="section_2_21_payments_generally__pro_rat"/>
      <w:bookmarkEnd w:id="386"/>
      <w:r>
        <w:rPr>
          <w:rFonts w:ascii="Times New Roman" w:hAnsi="Times New Roman"/>
          <w:color w:val="000000"/>
          <w:sz w:val="22"/>
        </w:rPr>
        <w:t xml:space="preserve">Section 2.21 </w:t>
      </w:r>
      <w:r>
        <w:rPr>
          <w:rFonts w:ascii="Times New Roman" w:hAnsi="Times New Roman"/>
          <w:color w:val="000000"/>
          <w:sz w:val="22"/>
          <w:u w:val="single"/>
        </w:rPr>
        <w:t>Payments Generally; Pro Rata Treatment; Sharing of Set-offs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Borrower shall make each payment required to be made by it hereunder (whether of principal, interest, fees or reimbursement of LC Disbursements, or of amounts payable under </w:t>
      </w:r>
      <w:r>
        <w:rPr>
          <w:rFonts w:ascii="Times New Roman" w:hAnsi="Times New Roman"/>
          <w:color w:val="000000"/>
          <w:sz w:val="22"/>
          <w:u w:val="single"/>
        </w:rPr>
        <w:t>Sections 2.18</w:t>
      </w:r>
      <w:r>
        <w:rPr>
          <w:rFonts w:ascii="Times New Roman" w:hAnsi="Times New Roman"/>
          <w:color w:val="000000"/>
          <w:sz w:val="22"/>
        </w:rPr>
        <w:t xml:space="preserve">, </w:t>
      </w:r>
      <w:r>
        <w:rPr>
          <w:rFonts w:ascii="Times New Roman" w:hAnsi="Times New Roman"/>
          <w:color w:val="000000"/>
          <w:sz w:val="22"/>
          <w:u w:val="single"/>
        </w:rPr>
        <w:t>2.19</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2.20</w:t>
      </w:r>
      <w:r>
        <w:rPr>
          <w:rFonts w:ascii="Times New Roman" w:hAnsi="Times New Roman"/>
          <w:color w:val="000000"/>
          <w:sz w:val="22"/>
        </w:rPr>
        <w:t xml:space="preserve">, or otherwise) prior to 12:00 noon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Issuing Bank or Swingline Lender as expressly provided herein and except that payments pursuant to </w:t>
      </w:r>
      <w:r>
        <w:rPr>
          <w:rFonts w:ascii="Times New Roman" w:hAnsi="Times New Roman"/>
          <w:color w:val="000000"/>
          <w:sz w:val="22"/>
          <w:u w:val="single"/>
        </w:rPr>
        <w:t>Sections 2.18</w:t>
      </w:r>
      <w:r>
        <w:rPr>
          <w:rFonts w:ascii="Times New Roman" w:hAnsi="Times New Roman"/>
          <w:color w:val="000000"/>
          <w:sz w:val="22"/>
        </w:rPr>
        <w:t xml:space="preserve">, </w:t>
      </w:r>
      <w:r>
        <w:rPr>
          <w:rFonts w:ascii="Times New Roman" w:hAnsi="Times New Roman"/>
          <w:color w:val="000000"/>
          <w:sz w:val="22"/>
          <w:u w:val="single"/>
        </w:rPr>
        <w:t>2.19</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2.20</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11.3</w:t>
      </w:r>
      <w:r>
        <w:rPr>
          <w:color w:val="000000"/>
        </w:rPr>
        <w:t xml:space="preserve"> </w:t>
      </w:r>
      <w:r>
        <w:rPr>
          <w:rFonts w:ascii="Times New Roman" w:hAnsi="Times New Roman"/>
          <w:color w:val="000000"/>
          <w:sz w:val="22"/>
        </w:rPr>
        <w:t>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at any time insufficient funds are received by and available to the Administrative Agent to pay fully all amounts of principal, unreimbursed LC Disbursements, interest and fees then due hereunder, such funds shall be applied as follows: </w:t>
      </w:r>
      <w:r>
        <w:rPr>
          <w:rFonts w:ascii="Times New Roman" w:hAnsi="Times New Roman"/>
          <w:color w:val="000000"/>
          <w:sz w:val="22"/>
          <w:u w:val="single"/>
        </w:rPr>
        <w:t>first</w:t>
      </w:r>
      <w:r>
        <w:rPr>
          <w:rFonts w:ascii="Times New Roman" w:hAnsi="Times New Roman"/>
          <w:color w:val="000000"/>
          <w:sz w:val="22"/>
        </w:rPr>
        <w:t xml:space="preserve">, to all fees and reimbursable expenses of the Administrative Agent then due and payable pursuant to any of the Loan Documents; </w:t>
      </w:r>
      <w:r>
        <w:rPr>
          <w:rFonts w:ascii="Times New Roman" w:hAnsi="Times New Roman"/>
          <w:color w:val="000000"/>
          <w:sz w:val="22"/>
          <w:u w:val="single"/>
        </w:rPr>
        <w:t>second</w:t>
      </w:r>
      <w:r>
        <w:rPr>
          <w:rFonts w:ascii="Times New Roman" w:hAnsi="Times New Roman"/>
          <w:color w:val="000000"/>
          <w:sz w:val="22"/>
        </w:rPr>
        <w:t xml:space="preserve">, to all reimbursable expenses of the Lenders and all fees and reimbursable expenses of the Issuing Bank then due and payable pursuant to any of the Loan Documents, pro rata to the Lenders and the Issuing Bank based on their respective pro rata shares of such fees and expenses; </w:t>
      </w:r>
      <w:r>
        <w:rPr>
          <w:rFonts w:ascii="Times New Roman" w:hAnsi="Times New Roman"/>
          <w:color w:val="000000"/>
          <w:sz w:val="22"/>
          <w:u w:val="single"/>
        </w:rPr>
        <w:t>third</w:t>
      </w:r>
      <w:r>
        <w:rPr>
          <w:rFonts w:ascii="Times New Roman" w:hAnsi="Times New Roman"/>
          <w:color w:val="000000"/>
          <w:sz w:val="22"/>
        </w:rPr>
        <w:t xml:space="preserve">, to all interest and fees then due and payable hereunder, pro rata to the Lenders based on their respective pro rata shares of such interest and fees; and </w:t>
      </w:r>
      <w:r>
        <w:rPr>
          <w:rFonts w:ascii="Times New Roman" w:hAnsi="Times New Roman"/>
          <w:color w:val="000000"/>
          <w:sz w:val="22"/>
          <w:u w:val="single"/>
        </w:rPr>
        <w:t>fourth</w:t>
      </w:r>
      <w:r>
        <w:rPr>
          <w:rFonts w:ascii="Times New Roman" w:hAnsi="Times New Roman"/>
          <w:color w:val="000000"/>
          <w:sz w:val="22"/>
        </w:rPr>
        <w:t>, to all principal of the Loans and unreimbursed LC Disbursements then due and payable hereunder, pro rata to the parties entitled thereto based on their respective pro rata shares of such principal and unreimbursed LC Disbursements.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any Lender or the Issuing Bank shall, by exercising any right of set-off or counterclaim or otherwise, obtain payment in respect of any principal of or interest on any of its Loans or participations in LC Disbursements or Swingline Loans or other obligations hereunder that would result in such Lender or the Issuing Bank receiving payment of a greater proportion of the aggregate amount of its Revolving Credit Exposure, Term Loans and accrued interest and fees thereon than the proportion received by any other Lender or the Issuing Bank with respect to its Revolving Credit Exposure or Term Loans, as applicable, then the Lender or the Issuing Bank receiving such greater proportion shall purchase (for cash at face value) participations in the Revolving Credit Exposure and/or Term Loans of other Lenders or other Issuing Banks (if applicable) to the extent necessary so that the benefit of all such payments shall be shared by the Lenders and Issuing Banks, as applicable, ratably in accordance with the aggregate amount of principal of and accrued interest on their respective Revolving Credit Exposure and/or Term Loans, as applicable; </w:t>
      </w:r>
      <w:r>
        <w:rPr>
          <w:rFonts w:ascii="Times New Roman" w:hAnsi="Times New Roman"/>
          <w:color w:val="000000"/>
          <w:sz w:val="22"/>
          <w:u w:val="single"/>
        </w:rPr>
        <w:t>provided</w:t>
      </w:r>
      <w:r>
        <w:rPr>
          <w:rFonts w:ascii="Times New Roman" w:hAnsi="Times New Roman"/>
          <w:color w:val="000000"/>
          <w:sz w:val="22"/>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hAnsi="Times New Roman"/>
          <w:color w:val="000000"/>
          <w:sz w:val="22"/>
          <w:u w:val="single"/>
        </w:rPr>
        <w:t>Section 2.21(c)</w:t>
      </w:r>
      <w:r>
        <w:rPr>
          <w:color w:val="000000"/>
        </w:rPr>
        <w:t xml:space="preserve"> </w:t>
      </w:r>
      <w:r>
        <w:rPr>
          <w:rFonts w:ascii="Times New Roman" w:hAnsi="Times New Roman"/>
          <w:color w:val="000000"/>
          <w:sz w:val="22"/>
        </w:rPr>
        <w:t xml:space="preserve">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Revolving Credit Exposure or Term Loans to any assignee or participant, other than to the Borrower or any Subsidiary of Holdings or Affiliate thereof (as to which the provisions of this </w:t>
      </w:r>
      <w:r>
        <w:rPr>
          <w:rFonts w:ascii="Times New Roman" w:hAnsi="Times New Roman"/>
          <w:color w:val="000000"/>
          <w:sz w:val="22"/>
          <w:u w:val="single"/>
        </w:rPr>
        <w:t>Section 2.21(c)</w:t>
      </w:r>
      <w:r>
        <w:rPr>
          <w:color w:val="000000"/>
        </w:rPr>
        <w:t xml:space="preserve"> </w:t>
      </w:r>
      <w:r>
        <w:rPr>
          <w:rFonts w:ascii="Times New Roman" w:hAnsi="Times New Roman"/>
          <w:color w:val="000000"/>
          <w:sz w:val="22"/>
        </w:rPr>
        <w:t xml:space="preserve">shall apply). The Borrower consents to the foregoing and agrees, to the extent it may effectively do so under applicable Law, that any Lender or the Issuing Bank acquiring a participation pursuant to the foregoing arrangements may exercise against the Borrower rights of set-off and counterclaim with respect to such participation as fully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if such Lender or the Issuing Bank were a direct creditor of the Borrower in the amount of such participation.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or amounts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87" w:name="section_2_22_letters_of_credit_"/>
      <w:bookmarkEnd w:id="387"/>
      <w:r>
        <w:rPr>
          <w:rFonts w:ascii="Times New Roman" w:hAnsi="Times New Roman"/>
          <w:color w:val="000000"/>
          <w:sz w:val="22"/>
        </w:rPr>
        <w:t xml:space="preserve">Section 2.22 </w:t>
      </w:r>
      <w:r>
        <w:rPr>
          <w:rFonts w:ascii="Times New Roman" w:hAnsi="Times New Roman"/>
          <w:color w:val="000000"/>
          <w:sz w:val="22"/>
          <w:u w:val="single"/>
        </w:rPr>
        <w:t>Letters of Credit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General</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During the Availability Period, the Issuing Bank, in reliance (among other things) upon the agreements of the other Lenders pursuant to </w:t>
      </w:r>
      <w:r>
        <w:rPr>
          <w:rFonts w:ascii="Times New Roman" w:hAnsi="Times New Roman"/>
          <w:color w:val="000000"/>
          <w:sz w:val="22"/>
          <w:u w:val="single"/>
        </w:rPr>
        <w:t>Sections 2.22(d</w:t>
      </w:r>
      <w:r>
        <w:rPr>
          <w:rFonts w:ascii="Times New Roman" w:hAnsi="Times New Roman"/>
          <w:color w:val="000000"/>
          <w:sz w:val="22"/>
        </w:rPr>
        <w:t xml:space="preserve">) and </w:t>
      </w:r>
      <w:r>
        <w:rPr>
          <w:rFonts w:ascii="Times New Roman" w:hAnsi="Times New Roman"/>
          <w:color w:val="000000"/>
          <w:sz w:val="22"/>
          <w:u w:val="single"/>
        </w:rPr>
        <w:t>2.22(e)</w:t>
      </w:r>
      <w:r>
        <w:rPr>
          <w:rFonts w:ascii="Times New Roman" w:hAnsi="Times New Roman"/>
          <w:color w:val="000000"/>
          <w:sz w:val="22"/>
        </w:rPr>
        <w:t xml:space="preserve">, may, in its sole discretion, issue, at the request of the Borrower, Letters of Credit for the account of the Borrower or, subject to </w:t>
      </w:r>
      <w:r>
        <w:rPr>
          <w:rFonts w:ascii="Times New Roman" w:hAnsi="Times New Roman"/>
          <w:color w:val="000000"/>
          <w:sz w:val="22"/>
          <w:u w:val="single"/>
        </w:rPr>
        <w:t>Section 2.22(l)</w:t>
      </w:r>
      <w:r>
        <w:rPr>
          <w:rFonts w:ascii="Times New Roman" w:hAnsi="Times New Roman"/>
          <w:color w:val="000000"/>
          <w:sz w:val="22"/>
        </w:rPr>
        <w:t xml:space="preserve">, any Subsidiary of Holdings (as specified by the Borrower in the request for such Letter of Credit) on the terms and conditions hereinafter set forth; </w:t>
      </w:r>
      <w:r>
        <w:rPr>
          <w:rFonts w:ascii="Times New Roman" w:hAnsi="Times New Roman"/>
          <w:color w:val="000000"/>
          <w:sz w:val="22"/>
          <w:u w:val="single"/>
        </w:rPr>
        <w:t>provided</w:t>
      </w:r>
      <w:r>
        <w:rPr>
          <w:rFonts w:ascii="Times New Roman" w:hAnsi="Times New Roman"/>
          <w:color w:val="000000"/>
          <w:sz w:val="22"/>
        </w:rPr>
        <w:t>, that (1) each Letter of Credit shall expire on the earlier of (A) the date one year after the date of issuance of such Letter of Credit (or, in the case of any extension of the expiration date thereof, whether automatic or by amendment, one year after the then current expiration date of such Letter of Credit) and (B) the date that is five (5) Business Days prior to the Revolving Commitment Termination Date (which in no event shall extend beyond the date referred to in clause (B) above, except to the extent cash collateralized or backstopped pursuant to arrangements reasonably acceptable to the Issuing Bank); (2) each Letter of Credit shall be in a stated amount of at least $100,000; and (3) the Borrower may not request the issuance, extension, reinstatement or other amendment of any Letter of Credit if, after giving effect to such issuance, extension, reinstatement or other amendment (A) the aggregate LC Exposure would exceed the LC Commitment or (B) the aggregate Revolving Credit Exposure of all Lenders would exceed the Aggregate Revolving Commitments.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shall be deemed to, and hereby irrevocably and unconditionally agrees to, purchase from the Issuing Bank without recourse a participation in each Letter of Credit issued by the Issuing Bank equal to such Lender’s Pro Rata Share of the aggregate amount available to be drawn under such Letter of Credit on the date of issuance with respect to all Letters of Credit. Each issuance of a Letter of Credit shall be deemed to utilize the Revolving Commitment of each Lender by an amount equal to the amount of such participation.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Additionally, the Issuing Bank shall not be under any obligation to issue any Letter of Credit if: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order, judgment or decree of any Governmental Authority or arbitrator shall by its terms purport to enjoin or restrain the Issuing Bank from issuing such Letter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Credit, or request that the Issuing Bank refrain from, or any Law applicable to the Issuing Bank shall prohibit the issuance of letters of credit generally or such Letter of Credit in particular, any such order, judgment or decree, or Law shall impose upon the Issuing Bank with respect to such Letter of Credit any restriction, reserve or capital or liquidity requirement (for which the Issuing Bank is not otherwise compensated hereunder) not in effect on the Closing Date, or shall impose upon the Issuing Bank any unreimbursed loss, cost or expense that was not applicable on the Closing Date and that the Issuing Bank in good faith deems material to 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issuance of such Letter of Credit would violate one or more policies of the Issuing Bank applicable to letters of credit generally;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proceeds of such Letter of Credit would be made available to any Person (x) to fund any activity or business of or with any Sanctioned Person or in any Sanctioned Countries, that, at the time of such funding, is the subject of any Sanctions or (y) in any manner that would result in a violation of any Sanctions by any party to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Issuing Bank shall be under no obligation to issue any amendment to any Letter of Credit if the Issuing Bank would have no obligation at such time to issue the Letter of Credit in its amended form under the terms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Requests for Issuance, Extension, Reinstatement or Other Amendment</w:t>
      </w:r>
      <w:r>
        <w:rPr>
          <w:rFonts w:ascii="Times New Roman" w:hAnsi="Times New Roman"/>
          <w:color w:val="000000"/>
          <w:sz w:val="22"/>
        </w:rPr>
        <w:t xml:space="preserve">. To request the issuance of a Letter of Credit (or the extension of its term, reinstatement of amounts paid, or other amendment of its terms and conditions), the Borrower shall give the Issuing Bank and the Administrative Agent irrevocable written notice at least three (3) Business Days prior to the requested date of such issuance, extension, reinstatement or other amendment specifying the date (which shall be a Business Day) such Letter of Credit is to be issued (or amended, extended, reinstated or amended as the case may be), the expiration date of such Letter of Credit, the amount of such Letter of Credit, the name and address of the beneficiary thereof, whether such Letter of Credit shall be issued on the account of the Borrower or a Subsidiary of Holdings, and such other information as shall be necessary to prepare, extend, reinstate or otherwise amend such Letter of Credit. In addition to the satisfaction of the conditions in </w:t>
      </w:r>
      <w:r>
        <w:rPr>
          <w:rFonts w:ascii="Times New Roman" w:hAnsi="Times New Roman"/>
          <w:color w:val="000000"/>
          <w:sz w:val="22"/>
          <w:u w:val="single"/>
        </w:rPr>
        <w:t>Article III</w:t>
      </w:r>
      <w:r>
        <w:rPr>
          <w:rFonts w:ascii="Times New Roman" w:hAnsi="Times New Roman"/>
          <w:color w:val="000000"/>
          <w:sz w:val="22"/>
        </w:rPr>
        <w:t xml:space="preserve">, the issuance of such Letter of Credit (or any amendment which increases the amount of such Letter of Credit) will be subject to the further conditions that such Letter of Credit shall be in such form and contain such terms as the Issuing Bank shall approve and that the Borrower and/or the applicable Subsidiary of Holdings shall have executed and delivered any additional applications, agreements and instruments relating to such Letter of Credit as the Issuing Bank shall reasonably require; </w:t>
      </w:r>
      <w:r>
        <w:rPr>
          <w:rFonts w:ascii="Times New Roman" w:hAnsi="Times New Roman"/>
          <w:color w:val="000000"/>
          <w:sz w:val="22"/>
          <w:u w:val="single"/>
        </w:rPr>
        <w:t>provided</w:t>
      </w:r>
      <w:r>
        <w:rPr>
          <w:rFonts w:ascii="Times New Roman" w:hAnsi="Times New Roman"/>
          <w:color w:val="000000"/>
          <w:sz w:val="22"/>
        </w:rPr>
        <w:t>, that in the event of any conflict between such applications, agreements or instruments and this Agreement, the terms of this Agreement shall control.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Process for Issuance</w:t>
      </w:r>
      <w:r>
        <w:rPr>
          <w:rFonts w:ascii="Times New Roman" w:hAnsi="Times New Roman"/>
          <w:color w:val="000000"/>
          <w:sz w:val="22"/>
        </w:rPr>
        <w:t xml:space="preserve">. At least two (2) Business Days prior to the issuance of any Letter of Credit, the Issuing Bank will confirm with the Administrative Agent (by telephone or in writing) that the Administrative Agent has received such notice and if not, the Issuing Bank will provide the Administrative Agent with a copy thereof. Unless the Issuing Bank has received notice from the Administrative Agent on or before the Business Day immediately preceding the date the Issuing Bank is to issue the requested Letter of Credit directing the Issuing Bank not to issue the Letter of Credit because such issuance is not then permitted hereunder because of the limitations set forth in </w:t>
      </w:r>
      <w:r>
        <w:rPr>
          <w:rFonts w:ascii="Times New Roman" w:hAnsi="Times New Roman"/>
          <w:color w:val="000000"/>
          <w:sz w:val="22"/>
          <w:u w:val="single"/>
        </w:rPr>
        <w:t>Section 2.22(a</w:t>
      </w:r>
      <w:r>
        <w:rPr>
          <w:rFonts w:ascii="Times New Roman" w:hAnsi="Times New Roman"/>
          <w:color w:val="000000"/>
          <w:sz w:val="22"/>
        </w:rPr>
        <w:t xml:space="preserve">) or that one or more conditions specified in </w:t>
      </w:r>
      <w:r>
        <w:rPr>
          <w:rFonts w:ascii="Times New Roman" w:hAnsi="Times New Roman"/>
          <w:color w:val="000000"/>
          <w:sz w:val="22"/>
          <w:u w:val="single"/>
        </w:rPr>
        <w:t>Article III</w:t>
      </w:r>
      <w:r>
        <w:rPr>
          <w:color w:val="000000"/>
        </w:rPr>
        <w:t xml:space="preserve"> </w:t>
      </w:r>
      <w:r>
        <w:rPr>
          <w:rFonts w:ascii="Times New Roman" w:hAnsi="Times New Roman"/>
          <w:color w:val="000000"/>
          <w:sz w:val="22"/>
        </w:rPr>
        <w:t xml:space="preserve">are not then satisfied, then, subject to the terms and conditions hereof, the Issuing Bank shall, on the requested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date, issue such Letter of Credit in accordance with the Issuing Bank’s usual and customary business practices.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Disbursement Procedures</w:t>
      </w:r>
      <w:r>
        <w:rPr>
          <w:rFonts w:ascii="Times New Roman" w:hAnsi="Times New Roman"/>
          <w:color w:val="000000"/>
          <w:sz w:val="22"/>
        </w:rPr>
        <w:t xml:space="preserve">. 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w:t>
      </w:r>
      <w:r>
        <w:rPr>
          <w:rFonts w:ascii="Times New Roman" w:hAnsi="Times New Roman"/>
          <w:color w:val="000000"/>
          <w:sz w:val="22"/>
          <w:u w:val="single"/>
        </w:rPr>
        <w:t>provided</w:t>
      </w:r>
      <w:r>
        <w:rPr>
          <w:rFonts w:ascii="Times New Roman" w:hAnsi="Times New Roman"/>
          <w:color w:val="000000"/>
          <w:sz w:val="22"/>
        </w:rPr>
        <w:t xml:space="preserve">, that such notice need not be given prior to payment by the Issuing Bank any failure to give or delay in giving such notice shall not relieve the Borrower of its obligation to reimburse the Issuing Bank and the Lenders with respect to such LC Disbursement. The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11:00 a.m.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the Issuing Bank; </w:t>
      </w:r>
      <w:r>
        <w:rPr>
          <w:rFonts w:ascii="Times New Roman" w:hAnsi="Times New Roman"/>
          <w:color w:val="000000"/>
          <w:sz w:val="22"/>
          <w:u w:val="single"/>
        </w:rPr>
        <w:t>provided</w:t>
      </w:r>
      <w:r>
        <w:rPr>
          <w:rFonts w:ascii="Times New Roman" w:hAnsi="Times New Roman"/>
          <w:color w:val="000000"/>
          <w:sz w:val="22"/>
        </w:rPr>
        <w:t xml:space="preserve">, that for purposes solely of such Borrowing, the conditions precedent set forth in </w:t>
      </w:r>
      <w:r>
        <w:rPr>
          <w:rFonts w:ascii="Times New Roman" w:hAnsi="Times New Roman"/>
          <w:color w:val="000000"/>
          <w:sz w:val="22"/>
          <w:u w:val="single"/>
        </w:rPr>
        <w:t>Section 3.2</w:t>
      </w:r>
      <w:r>
        <w:rPr>
          <w:color w:val="000000"/>
        </w:rPr>
        <w:t xml:space="preserve"> </w:t>
      </w:r>
      <w:r>
        <w:rPr>
          <w:rFonts w:ascii="Times New Roman" w:hAnsi="Times New Roman"/>
          <w:color w:val="000000"/>
          <w:sz w:val="22"/>
        </w:rPr>
        <w:t xml:space="preserve">hereof shall not be applicable. The Administrative Agent shall notify the Lenders of such Borrowing in accordance with </w:t>
      </w:r>
      <w:r>
        <w:rPr>
          <w:rFonts w:ascii="Times New Roman" w:hAnsi="Times New Roman"/>
          <w:color w:val="000000"/>
          <w:sz w:val="22"/>
          <w:u w:val="single"/>
        </w:rPr>
        <w:t>Section 2.3</w:t>
      </w:r>
      <w:r>
        <w:rPr>
          <w:rFonts w:ascii="Times New Roman" w:hAnsi="Times New Roman"/>
          <w:color w:val="000000"/>
          <w:sz w:val="22"/>
        </w:rPr>
        <w:t xml:space="preserve">, and each Lender shall make the proceeds of its Base Rate Loan included in such Borrowing available to the Administrative Agent for the account of the Issuing Bank in accordance with </w:t>
      </w:r>
      <w:r>
        <w:rPr>
          <w:rFonts w:ascii="Times New Roman" w:hAnsi="Times New Roman"/>
          <w:color w:val="000000"/>
          <w:sz w:val="22"/>
          <w:u w:val="single"/>
        </w:rPr>
        <w:t>Section 2.6</w:t>
      </w:r>
      <w:r>
        <w:rPr>
          <w:rFonts w:ascii="Times New Roman" w:hAnsi="Times New Roman"/>
          <w:color w:val="000000"/>
          <w:sz w:val="22"/>
        </w:rPr>
        <w:t>. The proceeds of such Borrowing shall be applied directly by the Administrative Agent to reimburse the Issuing Bank for such LC Disbursement</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Reimbursement by Lenders</w:t>
      </w:r>
      <w:r>
        <w:rPr>
          <w:rFonts w:ascii="Times New Roman" w:hAnsi="Times New Roman"/>
          <w:color w:val="000000"/>
          <w:sz w:val="22"/>
        </w:rPr>
        <w:t xml:space="preserve">. If for any reason a Base Rate Borrowing may not be (as determined in the sole discretion of the Administrative Agent), or is not, made in accordance with the foregoing provisions, then each Lender (other than the Issuing Bank) shall be obligated to fund the participation that such Lender purchased pursuant to </w:t>
      </w:r>
      <w:r>
        <w:rPr>
          <w:rFonts w:ascii="Times New Roman" w:hAnsi="Times New Roman"/>
          <w:color w:val="000000"/>
          <w:sz w:val="22"/>
          <w:u w:val="single"/>
        </w:rPr>
        <w:t>Section 2.22(a)</w:t>
      </w:r>
      <w:r>
        <w:rPr>
          <w:color w:val="000000"/>
        </w:rPr>
        <w:t xml:space="preserve"> </w:t>
      </w:r>
      <w:r>
        <w:rPr>
          <w:rFonts w:ascii="Times New Roman" w:hAnsi="Times New Roman"/>
          <w:color w:val="000000"/>
          <w:sz w:val="22"/>
        </w:rPr>
        <w:t xml:space="preserve">in an amount equal to its Pro Rata Share of such LC Disbursement on and as of the date which such Base Rate Borrowing should have occurred. Each Lender’s obligation to fund its participation shall be absolute and unconditional and shall not be affected by any circumstance, including without limitation (i) any setoff, counterclaim, recoupment, defense or other right that such Lender or any other Person may have against the Issuing Bank or any other Person for any reason whatsoever, (ii) the existence of a Default or an Event of Default or the termination of the Aggregate Revolving Commitments, (iii) any adverse change in the condition (financial or otherwise) of Holdings, the Borrower or any of its Subsidiaries,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w:t>
      </w:r>
      <w:r>
        <w:rPr>
          <w:rFonts w:ascii="Times New Roman" w:hAnsi="Times New Roman"/>
          <w:color w:val="000000"/>
          <w:sz w:val="22"/>
          <w:u w:val="single"/>
        </w:rPr>
        <w:t>provided</w:t>
      </w:r>
      <w:r>
        <w:rPr>
          <w:rFonts w:ascii="Times New Roman" w:hAnsi="Times New Roman"/>
          <w:color w:val="000000"/>
          <w:sz w:val="22"/>
        </w:rPr>
        <w:t xml:space="preserve">, that if such payment is required to be returned for any reason to the Borrower or to a trustee, receiver, liquidator, custodian or similar official in any bankruptcy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proceeding, such Lender will return to the Administrative Agent or the Issuing Bank any portion thereof previously distributed by the Administrative Agent or the Issuing Bank to 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Interim Interest</w:t>
      </w:r>
      <w:r>
        <w:rPr>
          <w:rFonts w:ascii="Times New Roman" w:hAnsi="Times New Roman"/>
          <w:color w:val="000000"/>
          <w:sz w:val="22"/>
        </w:rPr>
        <w:t xml:space="preserve">. To the extent that any Lender shall fail to pay any amount required to be paid pursuant to </w:t>
      </w:r>
      <w:r>
        <w:rPr>
          <w:rFonts w:ascii="Times New Roman" w:hAnsi="Times New Roman"/>
          <w:color w:val="000000"/>
          <w:sz w:val="22"/>
          <w:u w:val="single"/>
        </w:rPr>
        <w:t>Sections 2.22(d)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2.22(e)</w:t>
      </w:r>
      <w:r>
        <w:rPr>
          <w:color w:val="000000"/>
        </w:rPr>
        <w:t xml:space="preserve"> </w:t>
      </w:r>
      <w:r>
        <w:rPr>
          <w:rFonts w:ascii="Times New Roman" w:hAnsi="Times New Roman"/>
          <w:color w:val="000000"/>
          <w:sz w:val="22"/>
        </w:rPr>
        <w:t xml:space="preserve">on the due date therefor, such Lender shall pay interest to the Issuing Bank (through the Administrative Agent) on such amount from such due date to the date such payment is made at a rate per annum equal to the Federal Funds Rate; </w:t>
      </w:r>
      <w:r>
        <w:rPr>
          <w:rFonts w:ascii="Times New Roman" w:hAnsi="Times New Roman"/>
          <w:color w:val="000000"/>
          <w:sz w:val="22"/>
          <w:u w:val="single"/>
        </w:rPr>
        <w:t>provided</w:t>
      </w:r>
      <w:r>
        <w:rPr>
          <w:rFonts w:ascii="Times New Roman" w:hAnsi="Times New Roman"/>
          <w:color w:val="000000"/>
          <w:sz w:val="22"/>
        </w:rPr>
        <w:t>, that if such Lender shall fail to make such payment to the Issuing Bank within three (3) Business Days of such due date, then, retroactively to the due date, such Lender shall be obligated to pay interest on such amount at the Base Rate.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Cash Collateralization</w:t>
      </w:r>
      <w:r>
        <w:rPr>
          <w:rFonts w:ascii="Times New Roman" w:hAnsi="Times New Roman"/>
          <w:color w:val="000000"/>
          <w:sz w:val="22"/>
        </w:rPr>
        <w:t xml:space="preserve">. 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w:t>
      </w:r>
      <w:r>
        <w:rPr>
          <w:rFonts w:ascii="Times New Roman" w:hAnsi="Times New Roman"/>
          <w:color w:val="000000"/>
          <w:sz w:val="22"/>
          <w:u w:val="single"/>
        </w:rPr>
        <w:t>Section 2.22(g)</w:t>
      </w:r>
      <w:r>
        <w:rPr>
          <w:rFonts w:ascii="Times New Roman" w:hAnsi="Times New Roman"/>
          <w:color w:val="000000"/>
          <w:sz w:val="22"/>
        </w:rPr>
        <w:t xml:space="preserve">, the Borrower shall deposit in an account with the Administrative Agent, in the name of the Administrative Agent and for the benefit of the Issuing Bank and the Lenders, an amount in cash equal to 105% of the aggregate LC Exposure of all Lenders as of such date plus any accrued and unpaid fees thereon; </w:t>
      </w:r>
      <w:r>
        <w:rPr>
          <w:rFonts w:ascii="Times New Roman" w:hAnsi="Times New Roman"/>
          <w:color w:val="000000"/>
          <w:sz w:val="22"/>
          <w:u w:val="single"/>
        </w:rPr>
        <w:t>provided</w:t>
      </w:r>
      <w:r>
        <w:rPr>
          <w:rFonts w:ascii="Times New Roman" w:hAnsi="Times New Roman"/>
          <w:color w:val="000000"/>
          <w:sz w:val="22"/>
        </w:rPr>
        <w:t xml:space="preserve">,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w:t>
      </w:r>
      <w:r>
        <w:rPr>
          <w:rFonts w:ascii="Times New Roman" w:hAnsi="Times New Roman"/>
          <w:color w:val="000000"/>
          <w:sz w:val="22"/>
          <w:u w:val="single"/>
        </w:rPr>
        <w:t>Sections 8.1(g)</w:t>
      </w:r>
      <w:r>
        <w:rPr>
          <w:rFonts w:ascii="Times New Roman" w:hAnsi="Times New Roman"/>
          <w:color w:val="000000"/>
          <w:sz w:val="22"/>
        </w:rPr>
        <w:t xml:space="preserve">, </w:t>
      </w:r>
      <w:r>
        <w:rPr>
          <w:rFonts w:ascii="Times New Roman" w:hAnsi="Times New Roman"/>
          <w:color w:val="000000"/>
          <w:sz w:val="22"/>
          <w:u w:val="single"/>
        </w:rPr>
        <w:t>8.1(h)</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8.1(i)</w:t>
      </w:r>
      <w:r>
        <w:rPr>
          <w:rFonts w:ascii="Times New Roman" w:hAnsi="Times New Roman"/>
          <w:color w:val="000000"/>
          <w:sz w:val="22"/>
        </w:rPr>
        <w:t xml:space="preserve">. Such deposit shall be held by the Administrative Agent as Cash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w:t>
      </w:r>
      <w:r>
        <w:rPr>
          <w:rFonts w:ascii="Times New Roman" w:hAnsi="Times New Roman"/>
          <w:color w:val="000000"/>
          <w:sz w:val="22"/>
          <w:u w:val="single"/>
        </w:rPr>
        <w:t>Section 2.22(g)</w:t>
      </w:r>
      <w:r>
        <w:rPr>
          <w:rFonts w:ascii="Times New Roman" w:hAnsi="Times New Roman"/>
          <w:color w:val="000000"/>
          <w:sz w:val="22"/>
        </w:rPr>
        <w:t>.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Bank for LC Disbursements for which it had not been reimbursed and to the extent not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Letter of Credit Reports</w:t>
      </w:r>
      <w:r>
        <w:rPr>
          <w:rFonts w:ascii="Times New Roman" w:hAnsi="Times New Roman"/>
          <w:color w:val="000000"/>
          <w:sz w:val="22"/>
        </w:rPr>
        <w:t>. 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Obligations Absolute</w:t>
      </w:r>
      <w:r>
        <w:rPr>
          <w:rFonts w:ascii="Times New Roman" w:hAnsi="Times New Roman"/>
          <w:color w:val="000000"/>
          <w:sz w:val="22"/>
        </w:rPr>
        <w:t>. 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lack of validity or enforceability of any Letter of Credit or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existence of any claim, set-off, defense or other right which the Borrower or any Subsidiary of Holdings or Affiliate of the Borrower may have at any time against a beneficiary or any transferee of any Letter of Credit (or any Persons or entities for whom any such beneficiary or transferee may be acting), any Lender (including the Issuing Bank) or any other Person, whether in connection with this Agreement or the Letter of Credit or any document related hereto or thereto or any unrelated transaction;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draft or other document presented under a Letter of Credit proving to be forged, fraudulent or invalid in any respect or any statement therein being untrue or inaccurate in any respect;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 by the Issuing Bank under a Letter of Credit against presentation of a draft or other document to the Issuing Bank that does not comply with the terms of such Letter of Credit;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other event or circumstance whatsoever, whether or not similar to any of the foregoing, that might, but for the provisions of this </w:t>
      </w:r>
      <w:r>
        <w:rPr>
          <w:rFonts w:ascii="Times New Roman" w:hAnsi="Times New Roman"/>
          <w:color w:val="000000"/>
          <w:sz w:val="22"/>
          <w:u w:val="single"/>
        </w:rPr>
        <w:t>Section 2.22</w:t>
      </w:r>
      <w:r>
        <w:rPr>
          <w:rFonts w:ascii="Times New Roman" w:hAnsi="Times New Roman"/>
          <w:color w:val="000000"/>
          <w:sz w:val="22"/>
        </w:rPr>
        <w:t>, constitute a legal or equitable discharge of, or provide a right of setoff against, the Borrower’s obligations hereunder;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existence of a Default or an Event of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Neither the Administrative Agent, the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hAnsi="Times New Roman"/>
          <w:color w:val="000000"/>
          <w:sz w:val="22"/>
          <w:u w:val="single"/>
        </w:rPr>
        <w:t>provided</w:t>
      </w:r>
      <w:r>
        <w:rPr>
          <w:rFonts w:ascii="Times New Roman" w:hAnsi="Times New Roman"/>
          <w:color w:val="000000"/>
          <w:sz w:val="22"/>
        </w:rPr>
        <w:t>,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or other documents presented under a Letter of Credit comply with the terms thereof. The parties hereto expressly agree that in the absence of gross negligence, bad faith or willful misconduct on the part of the Issuing Bank (as finally determined by a court of competent jurisdiction), the Issuing Bank shall be deemed to have exercised care in each such determination and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Issuing Bank may replace a purportedly lost, stolen, or destroyed original Letter of Credit or amendment thereto with a replacement marked as such or waive a requirement for its presentation;</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Issuing Bank may accept documents that appear on their face to be in substantial compliance with the terms and conditions of a Letter of Credit without responsibility for further investigation, regardless of any notice or information to the contrary, and may make payment upon presentation of documents that appear on their face to be in substantial compliance with the terms and conditions of such Letter of Credit (even if not in strict compliance with the terms and conditions of such Letter of Credit) and without regard to any non-documentary condition in such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Issuing Bank shall have the right, in its sole discretion, to decline to accept such documents and to make such payment if such documents are not in strict compliance with the terms and conditions of such Letter of Credit;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this </w:t>
      </w:r>
      <w:r>
        <w:rPr>
          <w:rFonts w:ascii="Times New Roman" w:hAnsi="Times New Roman"/>
          <w:color w:val="000000"/>
          <w:sz w:val="22"/>
          <w:u w:val="single"/>
        </w:rPr>
        <w:t>Section 2.22(i)</w:t>
      </w:r>
      <w:r>
        <w:rPr>
          <w:color w:val="000000"/>
        </w:rPr>
        <w:t xml:space="preserve"> </w:t>
      </w:r>
      <w:r>
        <w:rPr>
          <w:rFonts w:ascii="Times New Roman" w:hAnsi="Times New Roman"/>
          <w:color w:val="000000"/>
          <w:sz w:val="22"/>
        </w:rPr>
        <w:t xml:space="preserve">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stricter than the foregoing).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foregoing, none of the Administrative Agent, the Lenders, the Issuing Bank, or any of their respective Related Parties shall have any liability or responsibility by reason of (i) any presentation that includes forged or fraudulent documents or that is otherwise affected by the fraudulent, bad faith, or illegal conduct of the beneficiary or other Person, (ii) the Issuing Bank declining to take up documents and make payment (A) against documents that are fraudulent, forged, or for other reasons by which that it is entitled not to honor or (B) following the Borrower’s waiver of discrepancies with respect to such documents or request for honor of such documents or (iii) the Issuing Bank retaining proceeds of a Letter of Credit based on an apparently applicable attachment order, blocking regulation, or third-party claim notified to the Issuing Bank.</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Issuing Bank shall have all of the benefits and immunities (but not the obligations) (A) provided to the Administrative Agent in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with respect to any acts taken or omissions suffered by the Issuing Bank in connection with Letters of Credit issued by it or proposed to be issued by it and LC Documents pertaining to such Letters of Credit as fully as if the term “Administrative Agent” as used in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included the Issuing Bank with respect to such acts or omissions, and (B) as additionally provided herein with respect to the Issuing Bank.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ISP</w:t>
      </w:r>
      <w:r>
        <w:rPr>
          <w:rFonts w:ascii="Times New Roman" w:hAnsi="Times New Roman"/>
          <w:color w:val="000000"/>
          <w:sz w:val="22"/>
        </w:rPr>
        <w:t>. Unless otherwise expressly agreed by the Issuing Bank and the Borrower when a Letter of Credit is issued by the Issuing Bank and subject to applicable Laws, (i) each standby Letter of Credit shall be governed by the “International Standby Practices 1998” (ISP98) (or such later revision as may be published by the Institute of International Banking Law &amp; Practice on any date any Letter of Credit may be issued) (the “</w:t>
      </w:r>
      <w:r>
        <w:rPr>
          <w:rFonts w:ascii="Times New Roman" w:hAnsi="Times New Roman"/>
          <w:color w:val="000000"/>
          <w:sz w:val="22"/>
          <w:u w:val="single"/>
        </w:rPr>
        <w:t>ISP</w:t>
      </w:r>
      <w:r>
        <w:rPr>
          <w:color w:val="000000"/>
        </w:rPr>
        <w:t>”</w:t>
      </w:r>
      <w:r>
        <w:rPr>
          <w:rFonts w:ascii="Times New Roman" w:hAnsi="Times New Roman"/>
          <w:color w:val="000000"/>
          <w:sz w:val="22"/>
        </w:rPr>
        <w:t>) and (ii) the Borrower shall specify the foregoing in each Letter of Credit Application submitted for the issuance of a Letter of Credit. Notwithstanding the foregoing, the Issuing Bank shall not be responsible to the Borrower for, and the Issuing Bank’s rights and remedies against the Borrower shall not be impaired by, any action or inaction of the Issuing Bank required or permitted under any law, order, or practice that is required or permitted to be applied to any Letter of Credit or this Agreement, including the laws or any order of a jurisdiction where the Issuing Bank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Resignation of Issuing Bank</w:t>
      </w:r>
      <w:r>
        <w:rPr>
          <w:rFonts w:ascii="Times New Roman" w:hAnsi="Times New Roman"/>
          <w:color w:val="000000"/>
          <w:sz w:val="22"/>
        </w:rPr>
        <w:t xml:space="preserve">. Any Issuing Bank may resign as an “Issuing Bank” hereunder upon 30 days’ prior written notice to the Administrative Agent, the Lenders and the Borrower;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on or prior to the expiration of such 30-day period with respect to such resignation, the relevant Issuing Bank shall have identified a successor Issuing Bank reasonably acceptable to the Borrower willing to accept its appointment as successor Issuing Bank, and the effectiveness of such resignation shall be conditioned upon such successor assuming the rights and duties of the resigning Issuing Bank. In the event of any such resignation as Issuing Bank, the Borrower shall be entitled to appoint from among the Lenders a successor Issuing Bank hereunder;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failure by the Borrower to appoint any such successor shall affect the resignation of the resigning Issuing Bank except as expressly provided above.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third Business Day following the date of the delivery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termination shall become effective until and unless the LC Exposure attributable to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w:t>
      </w:r>
      <w:r>
        <w:rPr>
          <w:rFonts w:ascii="Times New Roman" w:hAnsi="Times New Roman"/>
          <w:color w:val="000000"/>
          <w:sz w:val="22"/>
          <w:u w:val="single"/>
        </w:rPr>
        <w:t>Section 2.14(c)</w:t>
      </w:r>
      <w:r>
        <w:rPr>
          <w:rFonts w:ascii="Times New Roman" w:hAnsi="Times New Roman"/>
          <w:color w:val="000000"/>
          <w:sz w:val="22"/>
        </w:rPr>
        <w:t>. Notwithstanding the effectiveness of any such resignation or termination, the resigning or terminated Issuing Bank shall remain a party hereto and shall continue to have all the rights of an Issuing Bank under this Agreement with respect to Letters of Credit issued by it prior to such resignation or termination, but shall not be required to issue any additional Letters of Credit or to extend, reinstate, or otherwise amend any then-existing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Letters of Credit Issued for Account of Subsidiaries</w:t>
      </w:r>
      <w:r>
        <w:rPr>
          <w:rFonts w:ascii="Times New Roman" w:hAnsi="Times New Roman"/>
          <w:color w:val="000000"/>
          <w:sz w:val="22"/>
        </w:rPr>
        <w:t>. Notwithstanding that a Letter of Credit issued or outstanding hereunder is in support of any obligations of, or is for the account of, a Subsidiary of Holdings, the Borrower shall be obligated as a primary obligor to reimburse the Issuing Bank hereunder for any and all drawings under such Letter of Credit and irrevocably waives any defenses that might otherwise be available to it as a guarantor or surety of obligations of such Subsidiary of Holdings. The Borrower hereby acknowledges that the issuance of Letters of Credit for the account of Subsidiaries of Holdings inures to the benefit of the Borrower, and that the Borrower’s business derives substantial benefits from the businesses of such Subsidiaries of Holdings. To the extent that any Letter of Credit is issued for the account of any Subsidiary of Holdings, the Borrower agrees that (i) such Subsidiary of Holdings shall have no rights against the Issuing Bank, the Administrative Agent or any Lender, (ii) the Borrower shall be responsible for the obligations in respect of such Letter of Credit under this Agreement and any application or reimbursement agreement, (iii) the Borrower shall have sole right to give instructions and make agreements with respect to this Agreement and the Letter of Credit, and the disposition of documents related thereto, and (iv) the Borrower shall have all powers and rights in respect of any security arising in connection with the Letter of Credit and the transactions related thereto. The Borrower shall, at the request of the Issuing Bank, cause such Subsidiary of Holdings to execute and deliver an agreement confirming the terms specified in the immediately preceding sentence and acknowledging that it is bound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88" w:name="section_2_23_increase_of_commitments__ad"/>
      <w:bookmarkEnd w:id="388"/>
      <w:r>
        <w:rPr>
          <w:rFonts w:ascii="Times New Roman" w:hAnsi="Times New Roman"/>
          <w:color w:val="000000"/>
          <w:sz w:val="22"/>
        </w:rPr>
        <w:t xml:space="preserve">Section 2.23 </w:t>
      </w:r>
      <w:r>
        <w:rPr>
          <w:rFonts w:ascii="Times New Roman" w:hAnsi="Times New Roman"/>
          <w:color w:val="000000"/>
          <w:sz w:val="22"/>
          <w:u w:val="single"/>
        </w:rPr>
        <w:t>Increase of Commitments; Additional Lenders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The Borrower shall have the right from time to time, upon at least five (5) Business Days’ prior written notice to the Administrative Agent, to increase the Aggregate Revolving Commitments (each such increase, an “</w:t>
      </w:r>
      <w:r>
        <w:rPr>
          <w:rFonts w:ascii="Times New Roman" w:hAnsi="Times New Roman"/>
          <w:color w:val="000000"/>
          <w:sz w:val="22"/>
          <w:u w:val="single"/>
        </w:rPr>
        <w:t>Incremental Revolving Facility</w:t>
      </w:r>
      <w:r>
        <w:rPr>
          <w:rFonts w:ascii="Times New Roman" w:hAnsi="Times New Roman"/>
          <w:color w:val="000000"/>
          <w:sz w:val="20"/>
        </w:rPr>
        <w:t>”</w:t>
      </w:r>
      <w:r>
        <w:rPr>
          <w:rFonts w:ascii="Times New Roman" w:hAnsi="Times New Roman"/>
          <w:color w:val="000000"/>
          <w:sz w:val="22"/>
        </w:rPr>
        <w:t>) or establish one or more additional term loans (each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term loan, an “</w:t>
      </w:r>
      <w:r>
        <w:rPr>
          <w:rFonts w:ascii="Times New Roman" w:hAnsi="Times New Roman"/>
          <w:color w:val="000000"/>
          <w:sz w:val="22"/>
          <w:u w:val="single"/>
        </w:rPr>
        <w:t>Incremental Term Facility</w:t>
      </w:r>
      <w:r>
        <w:rPr>
          <w:rFonts w:ascii="Times New Roman" w:hAnsi="Times New Roman"/>
          <w:color w:val="000000"/>
          <w:sz w:val="20"/>
        </w:rPr>
        <w:t>”</w:t>
      </w:r>
      <w:r>
        <w:rPr>
          <w:rFonts w:ascii="Times New Roman" w:hAnsi="Times New Roman"/>
          <w:color w:val="000000"/>
          <w:sz w:val="22"/>
        </w:rPr>
        <w:t>, and together with each Incremental Revolving Facility, an “</w:t>
      </w:r>
      <w:r>
        <w:rPr>
          <w:rFonts w:ascii="Times New Roman" w:hAnsi="Times New Roman"/>
          <w:color w:val="000000"/>
          <w:sz w:val="22"/>
          <w:u w:val="single"/>
        </w:rPr>
        <w:t>Incremental Facility</w:t>
      </w:r>
      <w:r>
        <w:rPr>
          <w:rFonts w:ascii="Times New Roman" w:hAnsi="Times New Roman"/>
          <w:color w:val="000000"/>
          <w:sz w:val="20"/>
        </w:rPr>
        <w:t>”</w:t>
      </w:r>
      <w:r>
        <w:rPr>
          <w:rFonts w:ascii="Times New Roman" w:hAnsi="Times New Roman"/>
          <w:color w:val="000000"/>
          <w:sz w:val="22"/>
        </w:rPr>
        <w:t xml:space="preserve">) by an amount not to exceed the Incremental Cap;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 Default or Event of Default shall have occurred and be continuing on the date on which such Incremental Facility is to become effective;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connection with a requested borrowing of any Incremental Term Loan for the express purposes of funding, in whole or in part, the purchase price of a Permitted Acquisition that is a Limited Condition Transaction, the condition of this </w:t>
      </w:r>
      <w:r>
        <w:rPr>
          <w:rFonts w:ascii="Times New Roman" w:hAnsi="Times New Roman"/>
          <w:color w:val="000000"/>
          <w:sz w:val="22"/>
          <w:u w:val="single"/>
        </w:rPr>
        <w:t>Section 2.23(a)</w:t>
      </w:r>
      <w:r>
        <w:rPr>
          <w:color w:val="000000"/>
        </w:rPr>
        <w:t xml:space="preserve"> </w:t>
      </w:r>
      <w:r>
        <w:rPr>
          <w:rFonts w:ascii="Times New Roman" w:hAnsi="Times New Roman"/>
          <w:color w:val="000000"/>
          <w:sz w:val="22"/>
        </w:rPr>
        <w:t>shall be (x) no Default or Event of Default exists or would exist at the time a binding purchase agreement for such transaction is entered into by the applicable Loan Party and (y) the absence of a Specified Event of Default at the time of and after giving effect to the consummation of such Limited Condition Transaction;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both before and after giving effect to the consummation of the applicable Incremental Facility and the transactions related thereto, each of the representations and warranties contained in this Agreement and in the other Loan Documents shall be true and correct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all material respects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(provided that if a representation and warranty is qualified as to “materiality” or “Material Adverse Effect”, the materiality qualifier set forth above shall be disregarded with respect to such representation and warranty for purposes of this condition);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connection with a requested borrowing of any Incremental Term Loan for the sole express purpose of financing in whole or in part the purchase price for a Limited Condition Transaction, (i) such representations and warranties shall be true and correct in all material respects (provided that if a representation and warranty is qualified as to “materiality” or “Material Adverse Effect”, the materiality qualifier set forth above shall be disregarded with respect to such representation and warranty for purposes of this condition) on and as of the date of effectiveness of the definitive purchase agreement for such Limited Condition Transaction and (ii) the representations and warranties required to be correct and accurate at the time of the closing of such Limited Condition Transaction and funding of any applicable Incremental Term Loan will be limited to the Specified Representations and such other representations and warranties in the applicable acquisition agreement made by or with respect to the Person or assets subject to such Permitted Acquisition that are material to the interests of the Lenders, but only to the extent that the Borrower or applicable Subsidiary has the right to terminate its obligations under such acquisition agreement or not consummate such Permitted Acquisition as a result of a breach of such representations in such acquisition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Incremental Facility shall be in a minimum amount of $5,000,000 and in integral multiples of $1,000,000 in excess thereof (or such lesser amounts as the Administrative Agent may agree in its discretion);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such Incremental Revolving Facility or Incremental Term Facility shall be effective only upon receipt by the Administrative Agent of (i) additional Revolving Commitments (each such commitment, an “</w:t>
      </w:r>
      <w:r>
        <w:rPr>
          <w:rFonts w:ascii="Times New Roman" w:hAnsi="Times New Roman"/>
          <w:color w:val="000000"/>
          <w:sz w:val="22"/>
          <w:u w:val="single"/>
        </w:rPr>
        <w:t>Incremental Revolving Commitment</w:t>
      </w:r>
      <w:r>
        <w:rPr>
          <w:color w:val="000000"/>
        </w:rPr>
        <w:t>”</w:t>
      </w:r>
      <w:r>
        <w:rPr>
          <w:rFonts w:ascii="Times New Roman" w:hAnsi="Times New Roman"/>
          <w:color w:val="000000"/>
          <w:sz w:val="22"/>
        </w:rPr>
        <w:t xml:space="preserve">) in a corresponding amount of such requested Incremental Revolving Facility or Incremental Term Loan Commitments in a corresponding amount of such requested Incremental Term Facility, in each case, from either existing Lenders and/or one or more other institutions that qualify as assignees under </w:t>
      </w:r>
      <w:r>
        <w:rPr>
          <w:rFonts w:ascii="Times New Roman" w:hAnsi="Times New Roman"/>
          <w:color w:val="000000"/>
          <w:sz w:val="22"/>
          <w:u w:val="single"/>
        </w:rPr>
        <w:t>Section 11.4</w:t>
      </w:r>
      <w:r>
        <w:rPr>
          <w:color w:val="000000"/>
        </w:rPr>
        <w:t xml:space="preserve"> </w:t>
      </w:r>
      <w:r>
        <w:rPr>
          <w:rFonts w:ascii="Times New Roman" w:hAnsi="Times New Roman"/>
          <w:color w:val="000000"/>
          <w:sz w:val="22"/>
        </w:rPr>
        <w:t>and which are approved by the Administrative Agent (each such approval not to be unreasonably withheld or delayed) (each such institution, an “</w:t>
      </w:r>
      <w:r>
        <w:rPr>
          <w:rFonts w:ascii="Times New Roman" w:hAnsi="Times New Roman"/>
          <w:color w:val="000000"/>
          <w:sz w:val="22"/>
          <w:u w:val="single"/>
        </w:rPr>
        <w:t>Additional Lender</w:t>
      </w:r>
      <w:r>
        <w:rPr>
          <w:color w:val="000000"/>
        </w:rPr>
        <w:t>”</w:t>
      </w:r>
      <w:r>
        <w:rPr>
          <w:rFonts w:ascii="Times New Roman" w:hAnsi="Times New Roman"/>
          <w:color w:val="000000"/>
          <w:sz w:val="22"/>
        </w:rPr>
        <w:t xml:space="preserve">) (and with respect to any Additional Lender providing an Incremental Revolving Commitment, with the approval of each of the Issuing Bank and the Swingline Lender) and (ii) documentation from each existing Lender or Additional Lender providing an Incremental Revolving Commitment or Incremental Term Loan Commitment evidencing its agreement to provide an Incremental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Revolving Commitment and/or Incremental Term Loan Commitment and its acceptance of the obligations under this Agreement in form and substance reasonably acceptable to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have received customary closing certificates and legal opinions and all other documents (including resolutions of the manager or board of directors of the Loan Parties) it may reasonably request relating to the corporate or other necessary authority for such Incremental Facility and the validity of such Incremental Facility, and any other matters relevant thereto, all in form and substance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Administrative Agent shall have received a Pro Forma Compliance Certificate demonstrating compliance with the financial covenants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hereof after giving effect to such Incremental Facility (without “netting” the cash proceeds of the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Incremental Facility against Consolidated Total Debt and assuming, for purposes of such demonstration, that all Incremental Revolving Commitments are fully drawn) on a Pro Forma Basis in form and substance reasonably satisfactory to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connection with a requested borrowing of under any Incremental Term Loan Commitment for the express purposes of funding, in whole or in part, the purchase price of a Permitted Acquisition that is a Limited Condition Transaction, the date of determination for compliance with financial covenants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on a Pro Forma Basis shall be the date on which a binding purchase agreement is entered into by the Borrower or applicable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any Revolving Loans are outstanding at the time of the incurrence of any Incremental Revolving Facility, the Borrower shall, if applicable, prepay one or more existing Revolving Loans (such prepayment to be subject to </w:t>
      </w:r>
      <w:r>
        <w:rPr>
          <w:rFonts w:ascii="Times New Roman" w:hAnsi="Times New Roman"/>
          <w:color w:val="000000"/>
          <w:sz w:val="22"/>
          <w:u w:val="single"/>
        </w:rPr>
        <w:t>Section 2.19</w:t>
      </w:r>
      <w:r>
        <w:rPr>
          <w:rFonts w:ascii="Times New Roman" w:hAnsi="Times New Roman"/>
          <w:color w:val="000000"/>
          <w:sz w:val="22"/>
        </w:rPr>
        <w:t>) in an amount necessary such that after giving effect to such Incremental Revolving Facility, each Lender will hold its Pro Rata Share of outstanding Revolving Loans;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Incremental Revolving Facility shall have terms identical to those for the Revolving Loans under this Agreement, except for upfront fees payable to the Lenders providing commitments for such Incremental Revolving Facility and, for purposes of clarity, no Incremental Revolving Facility shall be subject to any limited conditionality in connection with any Limited Condition Transaction;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with respect to any Incremental Term Facility, the interest rate, interest rate margins, fees, discount, amortization, protection with respect to the final maturity date, Weighted Average Life to Maturity and the final maturity date for such Incremental Term Facility, in each case, applicable to any Incremental Term Facility shall be as set forth in the definitive documentation therefor;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any such Incremental Term Facility shall have a final maturity date that is coterminous with or later than the Revolving Commitment Termination Date and the Maturity Date of the Term Loan A, (ii) the Weighted Average Life to Maturity of such Incremental Term Facility shall not be less than the Weighted Average Life to Maturity of the Term Loan A or any other then existing Incremental Term Loan, (iii) such Incremental Term Facility shall share ratably in any mandatory prepayments of any then-existing Term Loan (or otherwise provide for more favorable mandatory prepayment treatment for the other Term Loans) and shall have ratable voting rights as the Term Loan A (or otherwise provide for more favorable voting rights for the other Term Loans) and (iv) the all-in yield (including interest rate margins, any interest rate floors, original issue discount and upfront fees (based on the lesser of a four-year average life to maturity or the remaining life to maturity) (the “</w:t>
      </w:r>
      <w:r>
        <w:rPr>
          <w:rFonts w:ascii="Times New Roman" w:hAnsi="Times New Roman"/>
          <w:color w:val="000000"/>
          <w:sz w:val="22"/>
          <w:u w:val="single"/>
        </w:rPr>
        <w:t>All-In Yield</w:t>
      </w:r>
      <w:r>
        <w:rPr>
          <w:color w:val="000000"/>
        </w:rPr>
        <w:t>”</w:t>
      </w:r>
      <w:r>
        <w:rPr>
          <w:rFonts w:ascii="Times New Roman" w:hAnsi="Times New Roman"/>
          <w:color w:val="000000"/>
          <w:sz w:val="22"/>
        </w:rPr>
        <w:t xml:space="preserve">), but excluding arrangement, structuring and underwriting fees paid or payable to any arranger of such Incremental Term Loan or its Affiliates) applicable to such Incremental Term Loan shall not be more than 0.50% higher than the corresponding All-In Yield (determined on the same basis) applicable to the existing Aggregate Revolving Commitments, Term Loan A or any then outstanding Incremental Term Loan (it being understood that (x) interest on the Aggregate Revolving Commitments, the Term Loan A and any existing Incremental Term Loan may be increased to the extent necessary to satisfy this requirement, (y) if Term SOFR in respect of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Incremental Facility includes a floor that is greater than both the floor applicable to the Aggregate Revolving Commitments, the Term Loan A or any existing Incremental Facility and 3-month Term SOFR then in effect, such excess amount (over the greater of the existing floor and such 3-month Term SOFR) shall be equated to interest rate for purposes of determining the applicable interest rate under such Incremental Facility and (z) differences in the Term SOFR or Base Rate floor if required to be adjusted pursuant to the foregoing shall be added to the Term SOFR or Base Rate floor to the extent required (and not to the Applicable Margin));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Lender (or any successor thereto) shall have any obligation to increase its Revolving Commitment or its other obligations under this Agreement and the other Loan Documents or to provide any portion of any Incremental Term Facility, and any decision by a Lender to increase its Revolving Commitment or provide any portion of any Incremental Term Facility shall be made in its sole discretion independently from any other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Arranger nor any Lender shall have any responsibility for arranging any such Incremental Facility without their prior written consent and subject to such conditions, including fee arrangements, as they may provide in connection therewith;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except as otherwise required or permitted by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(k)</w:t>
      </w:r>
      <w:r>
        <w:rPr>
          <w:color w:val="000000"/>
        </w:rPr>
        <w:t xml:space="preserve"> </w:t>
      </w:r>
      <w:r>
        <w:rPr>
          <w:rFonts w:ascii="Times New Roman" w:hAnsi="Times New Roman"/>
          <w:color w:val="000000"/>
          <w:sz w:val="22"/>
        </w:rPr>
        <w:t>above, all other terms of any Incremental Facility, if not consistent with the terms of the Term Loan A or the Revolving Loans under this Agreement, as the case may be, shall be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89" w:name="xm__for_purposes_of_clarity__extensions_"/>
      <w:bookmarkEnd w:id="389"/>
      <w:r>
        <w:rPr>
          <w:rFonts w:ascii="Times New Roman" w:hAnsi="Times New Roman"/>
          <w:color w:val="000000"/>
          <w:sz w:val="22"/>
        </w:rPr>
        <w:t xml:space="preserve">for purposes of clarity, extensions of credit under any Incremental Facility shall (i) constitute Loans hereunder and rank </w:t>
      </w:r>
      <w:r>
        <w:rPr>
          <w:rFonts w:ascii="Times New Roman" w:hAnsi="Times New Roman"/>
          <w:i/>
          <w:color w:val="000000"/>
          <w:sz w:val="22"/>
        </w:rPr>
        <w:t xml:space="preserve">pari passu </w:t>
      </w:r>
      <w:r>
        <w:rPr>
          <w:rFonts w:ascii="Times New Roman" w:hAnsi="Times New Roman"/>
          <w:color w:val="000000"/>
          <w:sz w:val="22"/>
        </w:rPr>
        <w:t xml:space="preserve">with all other Loans hereunder, (ii) be secured on a </w:t>
      </w:r>
      <w:r>
        <w:rPr>
          <w:rFonts w:ascii="Times New Roman" w:hAnsi="Times New Roman"/>
          <w:i/>
          <w:color w:val="000000"/>
          <w:sz w:val="22"/>
        </w:rPr>
        <w:t xml:space="preserve">pari passu </w:t>
      </w:r>
      <w:r>
        <w:rPr>
          <w:rFonts w:ascii="Times New Roman" w:hAnsi="Times New Roman"/>
          <w:color w:val="000000"/>
          <w:sz w:val="22"/>
        </w:rPr>
        <w:t>basis with the other Obligations (iii) be secured only by the Collateral, and (iv) not be guaranteed by any entity that is not a Loan Party;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pPr>
      <w:r>
        <w:rPr>
          <w:rFonts w:ascii="Times New Roman" w:hAnsi="Times New Roman"/>
          <w:color w:val="000000"/>
          <w:sz w:val="22"/>
        </w:rPr>
        <w:t xml:space="preserve">Notwithstanding anything to the contrary in </w:t>
      </w:r>
      <w:r>
        <w:rPr>
          <w:rFonts w:ascii="Times New Roman" w:hAnsi="Times New Roman"/>
          <w:color w:val="000000"/>
          <w:sz w:val="22"/>
          <w:u w:val="single"/>
        </w:rPr>
        <w:t>Section 11.2</w:t>
      </w:r>
      <w:r>
        <w:rPr>
          <w:rFonts w:ascii="Times New Roman" w:hAnsi="Times New Roman"/>
          <w:color w:val="000000"/>
          <w:sz w:val="22"/>
        </w:rPr>
        <w:t xml:space="preserve">, the Administrative Agent, the Loan Parties and the existing Lenders and/or Additional Lenders providing any such Incremental Revolving Commitments or any such Incremental Term Loan Commitments, without the further consent of any other Person, are expressly permitted to enter into an amendment to the Loan Documents to the extent necessary to give effect to such Incremental Facility, and to implement any technical, administrative and/or mechanical changes that are necessary or advisable to be implemented in connection therewith (including, without limitation, to ensure continuing </w:t>
      </w:r>
      <w:r>
        <w:rPr>
          <w:rFonts w:ascii="Times New Roman" w:hAnsi="Times New Roman"/>
          <w:i/>
          <w:color w:val="000000"/>
          <w:sz w:val="22"/>
        </w:rPr>
        <w:t xml:space="preserve">pro rata </w:t>
      </w:r>
      <w:r>
        <w:rPr>
          <w:rFonts w:ascii="Times New Roman" w:hAnsi="Times New Roman"/>
          <w:color w:val="000000"/>
          <w:sz w:val="22"/>
        </w:rPr>
        <w:t>allocations of Loans and Commitments and to implement ratable participations in Letters of Credit).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2.24 </w:t>
      </w:r>
      <w:r>
        <w:rPr>
          <w:rFonts w:ascii="Times New Roman" w:hAnsi="Times New Roman"/>
          <w:color w:val="000000"/>
          <w:sz w:val="22"/>
          <w:u w:val="single"/>
        </w:rPr>
        <w:t>Mitigation of Obligations.</w:t>
      </w:r>
      <w:r>
        <w:rPr>
          <w:rFonts w:ascii="Times New Roman" w:hAnsi="Times New Roman"/>
          <w:color w:val="000000"/>
          <w:sz w:val="20"/>
        </w:rPr>
        <w:t xml:space="preserve"> </w:t>
      </w:r>
      <w:r>
        <w:rPr>
          <w:rFonts w:ascii="Times New Roman" w:hAnsi="Times New Roman"/>
          <w:color w:val="000000"/>
          <w:sz w:val="22"/>
        </w:rPr>
        <w:t xml:space="preserve">If any Lender requests compensation under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2.18</w:t>
      </w:r>
      <w:r>
        <w:rPr>
          <w:rFonts w:ascii="Times New Roman" w:hAnsi="Times New Roman"/>
          <w:color w:val="000000"/>
          <w:sz w:val="22"/>
        </w:rPr>
        <w:t xml:space="preserve">, or if the Borrower is required to pay any additional amount to any Lender or any Governmental Authority for the account of any Lender pursuant to </w:t>
      </w:r>
      <w:r>
        <w:rPr>
          <w:rFonts w:ascii="Times New Roman" w:hAnsi="Times New Roman"/>
          <w:color w:val="000000"/>
          <w:sz w:val="22"/>
          <w:u w:val="single"/>
        </w:rPr>
        <w:t>Section 2.20</w:t>
      </w:r>
      <w:r>
        <w:rPr>
          <w:rFonts w:ascii="Times New Roman" w:hAnsi="Times New Roman"/>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Times New Roman" w:hAnsi="Times New Roman"/>
          <w:color w:val="000000"/>
          <w:sz w:val="22"/>
          <w:u w:val="single"/>
        </w:rPr>
        <w:t>Section 2.18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2.20</w:t>
      </w:r>
      <w:r>
        <w:rPr>
          <w:rFonts w:ascii="Times New Roman" w:hAnsi="Times New Roman"/>
          <w:color w:val="000000"/>
          <w:sz w:val="22"/>
        </w:rPr>
        <w:t>,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such designation or assignment.</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2.25 </w:t>
      </w:r>
      <w:r>
        <w:rPr>
          <w:rFonts w:ascii="Times New Roman" w:hAnsi="Times New Roman"/>
          <w:color w:val="000000"/>
          <w:sz w:val="22"/>
          <w:u w:val="single"/>
        </w:rPr>
        <w:t>Replacement of Lenders</w:t>
      </w:r>
      <w:r>
        <w:rPr>
          <w:rFonts w:ascii="Times New Roman" w:hAnsi="Times New Roman"/>
          <w:color w:val="000000"/>
          <w:sz w:val="22"/>
        </w:rPr>
        <w:t xml:space="preserve">. If (a) any Lender requests compensation under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2.18</w:t>
      </w:r>
      <w:r>
        <w:rPr>
          <w:rFonts w:ascii="Times New Roman" w:hAnsi="Times New Roman"/>
          <w:color w:val="000000"/>
          <w:sz w:val="22"/>
        </w:rPr>
        <w:t xml:space="preserve">, or if the Borrower is required to pay any additional amount to any Lender or any Governmental Authority for the account of any Lender pursuant to </w:t>
      </w:r>
      <w:r>
        <w:rPr>
          <w:rFonts w:ascii="Times New Roman" w:hAnsi="Times New Roman"/>
          <w:color w:val="000000"/>
          <w:sz w:val="22"/>
          <w:u w:val="single"/>
        </w:rPr>
        <w:t>Section 2.20</w:t>
      </w:r>
      <w:r>
        <w:rPr>
          <w:rFonts w:ascii="Times New Roman" w:hAnsi="Times New Roman"/>
          <w:color w:val="000000"/>
          <w:sz w:val="20"/>
        </w:rPr>
        <w:t xml:space="preserve"> </w:t>
      </w:r>
      <w:r>
        <w:rPr>
          <w:rFonts w:ascii="Times New Roman" w:hAnsi="Times New Roman"/>
          <w:color w:val="000000"/>
          <w:sz w:val="22"/>
        </w:rPr>
        <w:t>(an “</w:t>
      </w:r>
      <w:r>
        <w:rPr>
          <w:rFonts w:ascii="Times New Roman" w:hAnsi="Times New Roman"/>
          <w:color w:val="000000"/>
          <w:sz w:val="22"/>
          <w:u w:val="single"/>
        </w:rPr>
        <w:t>Increased Cost Lender</w:t>
      </w:r>
      <w:r>
        <w:rPr>
          <w:rFonts w:ascii="Times New Roman" w:hAnsi="Times New Roman"/>
          <w:color w:val="000000"/>
          <w:sz w:val="20"/>
        </w:rPr>
        <w:t>”</w:t>
      </w:r>
      <w:r>
        <w:rPr>
          <w:rFonts w:ascii="Times New Roman" w:hAnsi="Times New Roman"/>
          <w:color w:val="000000"/>
          <w:sz w:val="22"/>
        </w:rPr>
        <w:t xml:space="preserve">), (b) any Lender is a Defaulting Lender, or (c) any Lender is a Non-Consenting Lender, then the Borrower may, at its sole expense and effort, upon notice to such Lender and the Administrative Agent, require such Increased Cost Lender, Defaulting Lender or Non-Consenting Lender, as applicable, to assign and delegate, without recourse (in accordance with and subject to the restrictions set forth in </w:t>
      </w:r>
      <w:r>
        <w:rPr>
          <w:rFonts w:ascii="Times New Roman" w:hAnsi="Times New Roman"/>
          <w:color w:val="000000"/>
          <w:sz w:val="22"/>
          <w:u w:val="single"/>
        </w:rPr>
        <w:t>Section 11.4(b</w:t>
      </w:r>
      <w:r>
        <w:rPr>
          <w:rFonts w:ascii="Times New Roman" w:hAnsi="Times New Roman"/>
          <w:color w:val="000000"/>
          <w:sz w:val="22"/>
        </w:rPr>
        <w:t xml:space="preserve">)), all of its interests, rights (other than its existing rights to payments pursuant to </w:t>
      </w:r>
      <w:r>
        <w:rPr>
          <w:rFonts w:ascii="Times New Roman" w:hAnsi="Times New Roman"/>
          <w:color w:val="000000"/>
          <w:sz w:val="22"/>
          <w:u w:val="single"/>
        </w:rPr>
        <w:t>Section 2.18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2.20</w:t>
      </w:r>
      <w:r>
        <w:rPr>
          <w:rFonts w:ascii="Times New Roman" w:hAnsi="Times New Roman"/>
          <w:color w:val="000000"/>
          <w:sz w:val="22"/>
        </w:rPr>
        <w:t>, as applicable) and obligations under this Agreement to an assignee that shall assume such obligations (which assignee may be another Lender) (a “</w:t>
      </w:r>
      <w:r>
        <w:rPr>
          <w:rFonts w:ascii="Times New Roman" w:hAnsi="Times New Roman"/>
          <w:color w:val="000000"/>
          <w:sz w:val="22"/>
          <w:u w:val="single"/>
        </w:rPr>
        <w:t>Replacement Lender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Borrower shall have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received the prior written consent of the Administrative Agent,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(iii) in the case of any Increased Cost Lender, such assignment will result in a reduction in such compensation or payments, and (iv) in the case of a Non-Consenting Lender, each Replacement Lender shall have provided its consent to such amendment, modification, waiver or consent. A Lender shall not be required to make any such assignment and delegation if, prior thereto, as a result of a waiver by such Lender or otherwise, the circumstances entitling the Borrower to require such assignment and delegation cease to apply. Notwithstanding anything in this </w:t>
      </w:r>
      <w:r>
        <w:rPr>
          <w:rFonts w:ascii="Times New Roman" w:hAnsi="Times New Roman"/>
          <w:color w:val="000000"/>
          <w:sz w:val="22"/>
          <w:u w:val="single"/>
        </w:rPr>
        <w:t>Section 2.25</w:t>
      </w:r>
      <w:r>
        <w:rPr>
          <w:rFonts w:ascii="Times New Roman" w:hAnsi="Times New Roman"/>
          <w:color w:val="000000"/>
          <w:sz w:val="20"/>
        </w:rPr>
        <w:t xml:space="preserve"> </w:t>
      </w:r>
      <w:r>
        <w:rPr>
          <w:rFonts w:ascii="Times New Roman" w:hAnsi="Times New Roman"/>
          <w:color w:val="000000"/>
          <w:sz w:val="22"/>
        </w:rPr>
        <w:t xml:space="preserve">to the contrary, (i) any Lender that acts as the Issuing Bank may not be replaced as the Issuing Bank hereunder at any time it has any Letter of Credit outstanding hereunder unless arrangements satisfactory to such Lender (including the furnishing of a back-stop standby letter of credit in form and substance, and issued by an issuer, reasonably satisfactory to the Issuing Bank or the depositing of cash collateral into a cash collateral account in amounts and pursuant to arrangements reasonably satisfactory to the Issuing Bank) have been made with respect to such outstanding Letter of Credit and (ii) the Lender that acts as the Administrative Agent may not be replaced under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2.25</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390" w:name="section_2_26_defaulting_lenders_"/>
      <w:bookmarkEnd w:id="390"/>
      <w:r>
        <w:rPr>
          <w:rFonts w:ascii="Times New Roman" w:hAnsi="Times New Roman"/>
          <w:color w:val="000000"/>
          <w:sz w:val="22"/>
        </w:rPr>
        <w:t xml:space="preserve">Section 2.26 </w:t>
      </w:r>
      <w:r>
        <w:rPr>
          <w:rFonts w:ascii="Times New Roman" w:hAnsi="Times New Roman"/>
          <w:color w:val="000000"/>
          <w:sz w:val="22"/>
          <w:u w:val="single"/>
        </w:rPr>
        <w:t>Defaulting Lenders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Cash Collateral</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At any time that there shall exist a Defaulting Lender, within one (1) Business Day following the written request of the Administrative Agent or the Issuing Bank (with a copy to the Administrative Agent) the Borrower shall Cash Collateralize the Issuing Bank’s LC Exposure with respect to such Defaulting Lender (determined after giving effect to </w:t>
      </w:r>
      <w:r>
        <w:rPr>
          <w:rFonts w:ascii="Times New Roman" w:hAnsi="Times New Roman"/>
          <w:color w:val="000000"/>
          <w:sz w:val="22"/>
          <w:u w:val="single"/>
        </w:rPr>
        <w:t>Section 2.26(b)(iv)</w:t>
      </w:r>
      <w:r>
        <w:rPr>
          <w:color w:val="000000"/>
        </w:rPr>
        <w:t xml:space="preserve"> </w:t>
      </w:r>
      <w:r>
        <w:rPr>
          <w:rFonts w:ascii="Times New Roman" w:hAnsi="Times New Roman"/>
          <w:color w:val="000000"/>
          <w:sz w:val="22"/>
        </w:rPr>
        <w:t>and any Cash Collateral provided by such Defaulting Lender) in an amount not less than 105% of the Issuing Bank’s LC Exposure with respect to such Defaulting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Letters of Credit, to be applied pursuant to </w:t>
      </w:r>
      <w:r>
        <w:rPr>
          <w:rFonts w:ascii="Times New Roman" w:hAnsi="Times New Roman"/>
          <w:color w:val="000000"/>
          <w:sz w:val="22"/>
          <w:u w:val="single"/>
        </w:rPr>
        <w:t>Section 2.26(a)(iii)</w:t>
      </w:r>
      <w:r>
        <w:rPr>
          <w:rFonts w:ascii="Times New Roman" w:hAnsi="Times New Roman"/>
          <w:color w:val="000000"/>
          <w:sz w:val="22"/>
        </w:rPr>
        <w:t xml:space="preserve">. If at any time the Administrative Agent determines that Cash Collateral is subject to any right or claim of any Person other than the Administrative Agent and the Issuing Bank as herein provided, or that the total amount of such Cash Collateral is less than the minimum amount required pursuant to </w:t>
      </w:r>
      <w:r>
        <w:rPr>
          <w:rFonts w:ascii="Times New Roman" w:hAnsi="Times New Roman"/>
          <w:color w:val="000000"/>
          <w:sz w:val="22"/>
          <w:u w:val="single"/>
        </w:rPr>
        <w:t>Section 2.26(a)(i)</w:t>
      </w:r>
      <w:r>
        <w:rPr>
          <w:rFonts w:ascii="Times New Roman" w:hAnsi="Times New Roman"/>
          <w:color w:val="000000"/>
          <w:sz w:val="22"/>
        </w:rPr>
        <w:t xml:space="preserve">, the Borrower will, promptly upon demand by the Administrative Agent, pay or provide to the Administrative Agent additional Cash Collateral in an amount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sufficient to eliminate such deficiency (after giving effect to any Cash Collateral provided by the Defaulting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anything to the contrary contained in this Agreement, Cash Collateral provided under this </w:t>
      </w:r>
      <w:r>
        <w:rPr>
          <w:rFonts w:ascii="Times New Roman" w:hAnsi="Times New Roman"/>
          <w:color w:val="000000"/>
          <w:sz w:val="22"/>
          <w:u w:val="single"/>
        </w:rPr>
        <w:t>Section 2.26(a)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2.26(b)</w:t>
      </w:r>
      <w:r>
        <w:rPr>
          <w:color w:val="000000"/>
        </w:rPr>
        <w:t xml:space="preserve"> </w:t>
      </w:r>
      <w:r>
        <w:rPr>
          <w:rFonts w:ascii="Times New Roman" w:hAnsi="Times New Roman"/>
          <w:color w:val="000000"/>
          <w:sz w:val="22"/>
        </w:rPr>
        <w:t>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Cash Collateral (or the appropriate portion thereof) provided to reduce the Issuing Bank’s LC Exposure shall no longer be required to be held as Cash Collateral pursuant to this </w:t>
      </w:r>
      <w:r>
        <w:rPr>
          <w:rFonts w:ascii="Times New Roman" w:hAnsi="Times New Roman"/>
          <w:color w:val="000000"/>
          <w:sz w:val="22"/>
          <w:u w:val="single"/>
        </w:rPr>
        <w:t>Section 2.26(a)</w:t>
      </w:r>
      <w:r>
        <w:rPr>
          <w:color w:val="000000"/>
        </w:rPr>
        <w:t xml:space="preserve"> </w:t>
      </w:r>
      <w:r>
        <w:rPr>
          <w:rFonts w:ascii="Times New Roman" w:hAnsi="Times New Roman"/>
          <w:color w:val="000000"/>
          <w:sz w:val="22"/>
        </w:rPr>
        <w:t xml:space="preserve">following (A) the elimination of the applicable LC Exposure (including by the termination of Defaulting Lender status of the applicable Lender), or (B) the determination by the Administrative Agent and the Issuing Bank that there exists excess Cash Collateral;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subject to </w:t>
      </w:r>
      <w:r>
        <w:rPr>
          <w:rFonts w:ascii="Times New Roman" w:hAnsi="Times New Roman"/>
          <w:color w:val="000000"/>
          <w:sz w:val="22"/>
          <w:u w:val="single"/>
        </w:rPr>
        <w:t>Sections 2.26(b)</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2.26(d)</w:t>
      </w:r>
      <w:r>
        <w:rPr>
          <w:color w:val="000000"/>
        </w:rPr>
        <w:t xml:space="preserve"> </w:t>
      </w:r>
      <w:r>
        <w:rPr>
          <w:rFonts w:ascii="Times New Roman" w:hAnsi="Times New Roman"/>
          <w:color w:val="000000"/>
          <w:sz w:val="22"/>
        </w:rPr>
        <w:t xml:space="preserve">the Person providing Cash Collateral and each Issuing Bank may agree that Cash Collateral shall be held to support future anticipated LC Exposure or other obligations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to the extent that such Cash Collateral was provided by the Borrower, such Cash Collateral shall remain subject to the security interest granted pursuant to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Defaulting Lender Adjustments</w:t>
      </w:r>
      <w:r>
        <w:rPr>
          <w:rFonts w:ascii="Times New Roman" w:hAnsi="Times New Roman"/>
          <w:color w:val="000000"/>
          <w:sz w:val="22"/>
        </w:rPr>
        <w:t>. Notwithstanding anything to the contrary contained in this Agreement, if any Lender becomes a Defaulting Lender, then, until such time as such Lender is no longer a Defaulting Lender, to the extent permitted by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Such Defaulting Lender’s right to approve or disapprove any amendment, waiver or consent with respect to this Agreement shall be restricted as set forth in the definitions of Required Lenders and Required Revolving Lenders and in </w:t>
      </w:r>
      <w:r>
        <w:rPr>
          <w:rFonts w:ascii="Times New Roman" w:hAnsi="Times New Roman"/>
          <w:color w:val="000000"/>
          <w:sz w:val="22"/>
          <w:u w:val="single"/>
        </w:rPr>
        <w:t>Section 11.2</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or otherwise) or received by the Administrative Agent from a Defaulting Lender pursuant to </w:t>
      </w:r>
      <w:r>
        <w:rPr>
          <w:rFonts w:ascii="Times New Roman" w:hAnsi="Times New Roman"/>
          <w:color w:val="000000"/>
          <w:sz w:val="22"/>
          <w:u w:val="single"/>
        </w:rPr>
        <w:t>Section 11.7</w:t>
      </w:r>
      <w:r>
        <w:rPr>
          <w:color w:val="000000"/>
        </w:rPr>
        <w:t xml:space="preserve"> </w:t>
      </w:r>
      <w:r>
        <w:rPr>
          <w:rFonts w:ascii="Times New Roman" w:hAnsi="Times New Roman"/>
          <w:color w:val="000000"/>
          <w:sz w:val="22"/>
        </w:rPr>
        <w:t xml:space="preserve">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such Defaulting Lender to the Issuing Bank or Swingline Lender hereunder; </w:t>
      </w:r>
      <w:r>
        <w:rPr>
          <w:rFonts w:ascii="Times New Roman" w:hAnsi="Times New Roman"/>
          <w:color w:val="000000"/>
          <w:sz w:val="22"/>
          <w:u w:val="single"/>
        </w:rPr>
        <w:t>third</w:t>
      </w:r>
      <w:r>
        <w:rPr>
          <w:rFonts w:ascii="Times New Roman" w:hAnsi="Times New Roman"/>
          <w:color w:val="000000"/>
          <w:sz w:val="22"/>
        </w:rPr>
        <w:t xml:space="preserve">, to Cash Collateralize the Issuing Bank’s LC Exposure with respect to such Defaulting Lender in accordance with </w:t>
      </w:r>
      <w:r>
        <w:rPr>
          <w:rFonts w:ascii="Times New Roman" w:hAnsi="Times New Roman"/>
          <w:color w:val="000000"/>
          <w:sz w:val="22"/>
          <w:u w:val="single"/>
        </w:rPr>
        <w:t>Section 2.26(a)</w:t>
      </w:r>
      <w:r>
        <w:rPr>
          <w:rFonts w:ascii="Times New Roman" w:hAnsi="Times New Roman"/>
          <w:color w:val="000000"/>
          <w:sz w:val="22"/>
        </w:rPr>
        <w:t xml:space="preserve">; </w:t>
      </w:r>
      <w:r>
        <w:rPr>
          <w:rFonts w:ascii="Times New Roman" w:hAnsi="Times New Roman"/>
          <w:color w:val="000000"/>
          <w:sz w:val="22"/>
          <w:u w:val="single"/>
        </w:rPr>
        <w:t>fourth</w:t>
      </w:r>
      <w:r>
        <w:rPr>
          <w:rFonts w:ascii="Times New Roman" w:hAnsi="Times New Roman"/>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w:t>
      </w:r>
      <w:r>
        <w:rPr>
          <w:rFonts w:ascii="Times New Roman" w:hAnsi="Times New Roman"/>
          <w:color w:val="000000"/>
          <w:sz w:val="22"/>
          <w:u w:val="single"/>
        </w:rPr>
        <w:t>Section 2.26(a)</w:t>
      </w:r>
      <w:r>
        <w:rPr>
          <w:rFonts w:ascii="Times New Roman" w:hAnsi="Times New Roman"/>
          <w:color w:val="000000"/>
          <w:sz w:val="22"/>
        </w:rPr>
        <w:t xml:space="preserve">;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the Issuing Bank or Swingline Lender as a result of any judgment of a court of competent jurisdiction obtained by any Lender, the Issuing Bank 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Swingline Lender against such Defaulting Lender as a result of such Defaulting Lender’s breach of its obligations under this Agreement; </w:t>
      </w:r>
      <w:r>
        <w:rPr>
          <w:rFonts w:ascii="Times New Roman" w:hAnsi="Times New Roman"/>
          <w:color w:val="000000"/>
          <w:sz w:val="22"/>
          <w:u w:val="single"/>
        </w:rPr>
        <w:t>seventh</w:t>
      </w:r>
      <w:r>
        <w:rPr>
          <w:rFonts w:ascii="Times New Roman" w:hAnsi="Times New Roman"/>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color w:val="000000"/>
          <w:sz w:val="22"/>
          <w:u w:val="single"/>
        </w:rPr>
        <w:t>eighth</w:t>
      </w:r>
      <w:r>
        <w:rPr>
          <w:rFonts w:ascii="Times New Roman" w:hAnsi="Times New Roman"/>
          <w:color w:val="000000"/>
          <w:sz w:val="22"/>
        </w:rPr>
        <w:t xml:space="preserve">, to such Defaulting Lender or as otherwise directed by a court of competent jurisdiction;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2"/>
          <w:u w:val="single"/>
        </w:rPr>
        <w:t>Section 3.2</w:t>
      </w:r>
      <w:r>
        <w:rPr>
          <w:color w:val="000000"/>
        </w:rPr>
        <w:t xml:space="preserve"> </w:t>
      </w:r>
      <w:r>
        <w:rPr>
          <w:rFonts w:ascii="Times New Roman" w:hAnsi="Times New Roman"/>
          <w:color w:val="000000"/>
          <w:sz w:val="22"/>
        </w:rPr>
        <w:t xml:space="preserve">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Exposure and Swingline Loans are held by the Lenders pro rata in accordance with the Commitments under the applicable facilities without giving effect to </w:t>
      </w:r>
      <w:r>
        <w:rPr>
          <w:rFonts w:ascii="Times New Roman" w:hAnsi="Times New Roman"/>
          <w:color w:val="000000"/>
          <w:sz w:val="22"/>
          <w:u w:val="single"/>
        </w:rPr>
        <w:t>Section 2.26(b)(iv)</w:t>
      </w:r>
      <w:r>
        <w:rPr>
          <w:rFonts w:ascii="Times New Roman" w:hAnsi="Times New Roman"/>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2"/>
          <w:u w:val="single"/>
        </w:rPr>
        <w:t>Section 2.26(b)(ii)</w:t>
      </w:r>
      <w:r>
        <w:rPr>
          <w:color w:val="000000"/>
        </w:rPr>
        <w:t xml:space="preserve"> </w:t>
      </w:r>
      <w:r>
        <w:rPr>
          <w:rFonts w:ascii="Times New Roman" w:hAnsi="Times New Roman"/>
          <w:color w:val="000000"/>
          <w:sz w:val="22"/>
        </w:rPr>
        <w:t>shall be deemed paid to and redirected by such Defaulting Lender, and each Lender irrevocably consents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 Defaulting Lender shall be entitled to receive any Commitment Fee pursuant to </w:t>
      </w:r>
      <w:r>
        <w:rPr>
          <w:rFonts w:ascii="Times New Roman" w:hAnsi="Times New Roman"/>
          <w:color w:val="000000"/>
          <w:sz w:val="22"/>
          <w:u w:val="single"/>
        </w:rPr>
        <w:t>Section 2.14(b)</w:t>
      </w:r>
      <w:r>
        <w:rPr>
          <w:color w:val="000000"/>
        </w:rPr>
        <w:t xml:space="preserve"> </w:t>
      </w:r>
      <w:r>
        <w:rPr>
          <w:rFonts w:ascii="Times New Roman" w:hAnsi="Times New Roman"/>
          <w:color w:val="000000"/>
          <w:sz w:val="22"/>
        </w:rPr>
        <w:t>for any period during which that Lender is a Defaulting Lender (and the Borrower shall not be required to pay any such fee that otherwise would have been required to have been paid to that Defaulting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Defaulting Lender shall be entitled to receive letter of credit fees pursuant to </w:t>
      </w:r>
      <w:r>
        <w:rPr>
          <w:rFonts w:ascii="Times New Roman" w:hAnsi="Times New Roman"/>
          <w:color w:val="000000"/>
          <w:sz w:val="22"/>
          <w:u w:val="single"/>
        </w:rPr>
        <w:t>Section 2.14(c)</w:t>
      </w:r>
      <w:r>
        <w:rPr>
          <w:color w:val="000000"/>
        </w:rPr>
        <w:t xml:space="preserve"> </w:t>
      </w:r>
      <w:r>
        <w:rPr>
          <w:rFonts w:ascii="Times New Roman" w:hAnsi="Times New Roman"/>
          <w:color w:val="000000"/>
          <w:sz w:val="22"/>
        </w:rPr>
        <w:t xml:space="preserve">for any period during which that Lender is a Defaulting Lender only to the extent allocable to that portion of its LC Exposure for which it has provided Cash Collateral pursuant to </w:t>
      </w:r>
      <w:r>
        <w:rPr>
          <w:rFonts w:ascii="Times New Roman" w:hAnsi="Times New Roman"/>
          <w:color w:val="000000"/>
          <w:sz w:val="22"/>
          <w:u w:val="single"/>
        </w:rPr>
        <w:t>Section 2.26(a)</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With respect to any letter of credit fee not required to be paid to any Defaulting Lender pursuant to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color w:val="000000"/>
        </w:rPr>
        <w:t xml:space="preserve"> </w:t>
      </w:r>
      <w:r>
        <w:rPr>
          <w:rFonts w:ascii="Times New Roman" w:hAnsi="Times New Roman"/>
          <w:color w:val="000000"/>
          <w:sz w:val="22"/>
        </w:rPr>
        <w:t>above, the Borrower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hAnsi="Times New Roman"/>
          <w:color w:val="000000"/>
          <w:sz w:val="22"/>
          <w:u w:val="single"/>
        </w:rPr>
        <w:t>Section 2.26(b)(iv)</w:t>
      </w:r>
      <w:r>
        <w:rPr>
          <w:rFonts w:ascii="Times New Roman" w:hAnsi="Times New Roman"/>
          <w:color w:val="000000"/>
          <w:sz w:val="22"/>
        </w:rPr>
        <w:t>, (y) pay to each Issuing Bank and Swingline Lender, as applicable, the amount of any such fee otherwise payable to such Defaulting Lender to the extent allocable to the Issuing Bank’s LC Exposure or Swingline Lender’s Swingline Exposure with respect to such Defaulting Lender, and (z) not be required to pay the remaining amount of any such fee.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w:t>
      </w:r>
      <w:r>
        <w:rPr>
          <w:rFonts w:ascii="Times New Roman" w:hAnsi="Times New Roman"/>
          <w:color w:val="000000"/>
          <w:sz w:val="22"/>
          <w:u w:val="single"/>
        </w:rPr>
        <w:t>Section 3.2</w:t>
      </w:r>
      <w:r>
        <w:rPr>
          <w:color w:val="000000"/>
        </w:rPr>
        <w:t xml:space="preserve"> </w:t>
      </w:r>
      <w:r>
        <w:rPr>
          <w:rFonts w:ascii="Times New Roman" w:hAnsi="Times New Roman"/>
          <w:color w:val="000000"/>
          <w:sz w:val="22"/>
        </w:rPr>
        <w:t xml:space="preserve">are satisfied at the time of such reallocation (and, unless the Borrower shall have otherwise notified the Administrative Agent at such time, the Borrower shall be deemed to have represented and warranted that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such conditions are satisfied at such time), and (y) such reallocation does not cause the aggregate Revolving Credit Exposure of any Non-Defaulting Lender to exceed such Non-Defaulting Lender’s Revolving Commitment. Subject to </w:t>
      </w:r>
      <w:r>
        <w:rPr>
          <w:rFonts w:ascii="Times New Roman" w:hAnsi="Times New Roman"/>
          <w:color w:val="000000"/>
          <w:sz w:val="22"/>
          <w:u w:val="single"/>
        </w:rPr>
        <w:t>Section 11.17</w:t>
      </w:r>
      <w:r>
        <w:rPr>
          <w:rFonts w:ascii="Times New Roman" w:hAnsi="Times New Roman"/>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If the reallocation described in </w:t>
      </w:r>
      <w:r>
        <w:rPr>
          <w:rFonts w:ascii="Times New Roman" w:hAnsi="Times New Roman"/>
          <w:color w:val="000000"/>
          <w:sz w:val="22"/>
          <w:u w:val="single"/>
        </w:rPr>
        <w:t>Section 2.26(b)(iv)</w:t>
      </w:r>
      <w:r>
        <w:rPr>
          <w:color w:val="000000"/>
        </w:rPr>
        <w:t xml:space="preserve"> </w:t>
      </w:r>
      <w:r>
        <w:rPr>
          <w:rFonts w:ascii="Times New Roman" w:hAnsi="Times New Roman"/>
          <w:color w:val="000000"/>
          <w:sz w:val="22"/>
        </w:rPr>
        <w:t xml:space="preserve">cannot, or can only partially, be effected, the Borrower shall, without prejudice to any right or remedy available to it hereunder or under law, (x) </w:t>
      </w:r>
      <w:r>
        <w:rPr>
          <w:rFonts w:ascii="Times New Roman" w:hAnsi="Times New Roman"/>
          <w:color w:val="000000"/>
          <w:sz w:val="22"/>
          <w:u w:val="single"/>
        </w:rPr>
        <w:t>first</w:t>
      </w:r>
      <w:r>
        <w:rPr>
          <w:rFonts w:ascii="Times New Roman" w:hAnsi="Times New Roman"/>
          <w:color w:val="000000"/>
          <w:sz w:val="22"/>
        </w:rPr>
        <w:t xml:space="preserve">, prepay Swingline Loans in an amount equal to the Swingline Lender’s Swingline Exposure with respect to such Defaulting Lender and (y) </w:t>
      </w:r>
      <w:r>
        <w:rPr>
          <w:rFonts w:ascii="Times New Roman" w:hAnsi="Times New Roman"/>
          <w:color w:val="000000"/>
          <w:sz w:val="22"/>
          <w:u w:val="single"/>
        </w:rPr>
        <w:t>second</w:t>
      </w:r>
      <w:r>
        <w:rPr>
          <w:rFonts w:ascii="Times New Roman" w:hAnsi="Times New Roman"/>
          <w:color w:val="000000"/>
          <w:sz w:val="22"/>
        </w:rPr>
        <w:t xml:space="preserve">, Cash Collateralize the Issuing Bank’s LC Exposure with respect to such Defaulting Lender in accordance with the procedures set forth in </w:t>
      </w:r>
      <w:r>
        <w:rPr>
          <w:rFonts w:ascii="Times New Roman" w:hAnsi="Times New Roman"/>
          <w:color w:val="000000"/>
          <w:sz w:val="22"/>
          <w:u w:val="single"/>
        </w:rPr>
        <w:t>Section 2.26(a)</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Defaulting Lender Cure</w:t>
      </w:r>
      <w:r>
        <w:rPr>
          <w:rFonts w:ascii="Times New Roman" w:hAnsi="Times New Roman"/>
          <w:color w:val="000000"/>
          <w:sz w:val="22"/>
        </w:rPr>
        <w:t xml:space="preserve">. If the Borrower, the Administrative Agent,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2.26(b)(iv)</w:t>
      </w:r>
      <w:r>
        <w:rPr>
          <w:rFonts w:ascii="Times New Roman" w:hAnsi="Times New Roman"/>
          <w:color w:val="000000"/>
          <w:sz w:val="22"/>
        </w:rPr>
        <w:t xml:space="preserve">), whereupon such Lender will cease to be a Defaulting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adjustments will be made retroactively with respect to fees accrued or payments made by or on behalf of the Borrower while that Lender was a Defaulting Lender;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New Swingline Loans/Letters of Credit</w:t>
      </w:r>
      <w:r>
        <w:rPr>
          <w:rFonts w:ascii="Times New Roman" w:hAnsi="Times New Roman"/>
          <w:color w:val="000000"/>
          <w:sz w:val="22"/>
        </w:rPr>
        <w:t>. So long as any Lender is a Defaulting Lender, (i) the Swingline Lender shall not be required to fund any Swingline Loans unless it is satisfied that it will have no Swingline Exposure after giving effect to such Swingline Loan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the Issuing Bank shall not be required to issue, extend, renew or increase any Letter of Credit unless it is satisfied that it will have no LC Exposure after giving effect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2.27 </w:t>
      </w:r>
      <w:r>
        <w:rPr>
          <w:rFonts w:ascii="Times New Roman" w:hAnsi="Times New Roman"/>
          <w:color w:val="000000"/>
          <w:sz w:val="22"/>
          <w:u w:val="single"/>
        </w:rPr>
        <w:t>Refinancing Debt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At any time after the Closing Date, the Borrower may obtain, from any Lender or any Additional Lender, Credit Agreement Refinancing Indebtedness in respect of (i) all or any portion of the Term Loans then outstanding under this Agreement or (ii) all or any portion of the Revolving Loans (or unused Revolving Commitments) under this Agreement, which may be in the form of (v) Other Term Loans or Other Term Commitments pursuant to a Refinancing Amendment, (w) Other Revolving Loans or Other Revolving Commitments pursuant to a Refinancing Amendment, (x) Permitted Junior Refinancing Debt, (y) Permitted Senior Refinancing Debt, or (z) Permitted Unsecured Refinancing Debt;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Credit Agreement Refinancing Indebtedness (i) will have such pricing and optional prepayment terms as may be agreed by the Borrower and the lenders thereof, (ii)(x)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earlier of the maturity date of the Term Loans being refinanced and the Latest Maturity Date at the time of such </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refinancing, (iii) the proceeds of such Credit Agreement Refinancing Indebtedness shall be applied, substantially concurrently with the incurrence thereof, to the prepayment of outstanding Term Loans or reduction of Revolving Commitments being so refinanced, as the case may be and (iv) except in the case of the refinancing of the Obligations as a whole (and the termination of all Commitments), as of the date of incurrence of such Credit Agreement Refinancing Indebtedness and after giving effect thereto, no Event of Default exists and is continuing or would result therefrom. Each Class of Credit Agreement Refinancing Indebtedness shall be in an aggregate principal amount that is (x) not less than $5,000,000 and (y) an integral multiple of $1,000,000 in excess thereof (in each case unless the Borrower and the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 w:hAnsi="Times New Roman"/>
          <w:color w:val="000000"/>
          <w:sz w:val="22"/>
          <w:u w:val="single"/>
        </w:rPr>
        <w:t>Section 2.27</w:t>
      </w:r>
      <w:r>
        <w:rPr>
          <w:rFonts w:ascii="Times New Roman" w:hAnsi="Times New Roman"/>
          <w:color w:val="000000"/>
          <w:sz w:val="22"/>
        </w:rPr>
        <w:t xml:space="preserve">. In addition, if so provided in the relevant Refinancing Amendment and with the consent of the Issuing Bank, participations in Letters of Credit expiring on or after the Revolving Commitment Termination Date shall be reallocated from Lenders holding Revolving Commitments to Lenders holding extended revolving commitments in accordance with the terms of such Refinancing Amendment;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anything to the contrary, this </w:t>
      </w:r>
      <w:r>
        <w:rPr>
          <w:rFonts w:ascii="Times New Roman" w:hAnsi="Times New Roman"/>
          <w:color w:val="000000"/>
          <w:sz w:val="22"/>
          <w:u w:val="single"/>
        </w:rPr>
        <w:t>Section 2.27</w:t>
      </w:r>
      <w:r>
        <w:rPr>
          <w:color w:val="000000"/>
        </w:rPr>
        <w:t xml:space="preserve"> </w:t>
      </w:r>
      <w:r>
        <w:rPr>
          <w:rFonts w:ascii="Times New Roman" w:hAnsi="Times New Roman"/>
          <w:color w:val="000000"/>
          <w:sz w:val="22"/>
        </w:rPr>
        <w:t xml:space="preserve">shall supersede any provisions in </w:t>
      </w:r>
      <w:r>
        <w:rPr>
          <w:rFonts w:ascii="Times New Roman" w:hAnsi="Times New Roman"/>
          <w:color w:val="000000"/>
          <w:sz w:val="22"/>
          <w:u w:val="single"/>
        </w:rPr>
        <w:t>Section 2.21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11.2</w:t>
      </w:r>
      <w:r>
        <w:rPr>
          <w:color w:val="000000"/>
        </w:rPr>
        <w:t xml:space="preserve"> </w:t>
      </w:r>
      <w:r>
        <w:rPr>
          <w:rFonts w:ascii="Times New Roman" w:hAnsi="Times New Roman"/>
          <w:color w:val="000000"/>
          <w:sz w:val="22"/>
        </w:rPr>
        <w:t>to the contrary.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391" w:name="section_2_28_loan_modification_offers_"/>
      <w:bookmarkEnd w:id="391"/>
      <w:r>
        <w:rPr>
          <w:rFonts w:ascii="Times New Roman" w:hAnsi="Times New Roman"/>
          <w:color w:val="000000"/>
          <w:sz w:val="22"/>
        </w:rPr>
        <w:t xml:space="preserve">Section 2.28 </w:t>
      </w:r>
      <w:r>
        <w:rPr>
          <w:rFonts w:ascii="Times New Roman" w:hAnsi="Times New Roman"/>
          <w:color w:val="000000"/>
          <w:sz w:val="22"/>
          <w:u w:val="single"/>
        </w:rPr>
        <w:t>Loan Modification Offers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At any time after the Closing Date, the Borrower may on one or more occasions, by written notice to the Administrative Agent, make one or more offers (each, a “</w:t>
      </w:r>
      <w:r>
        <w:rPr>
          <w:rFonts w:ascii="Times New Roman" w:hAnsi="Times New Roman"/>
          <w:color w:val="000000"/>
          <w:sz w:val="22"/>
          <w:u w:val="single"/>
        </w:rPr>
        <w:t>Loan</w:t>
      </w:r>
      <w:r>
        <w:rPr>
          <w:color w:val="000000"/>
        </w:rPr>
        <w:t xml:space="preserve"> </w:t>
      </w:r>
      <w:r>
        <w:rPr>
          <w:rFonts w:ascii="Times New Roman" w:hAnsi="Times New Roman"/>
          <w:color w:val="000000"/>
          <w:sz w:val="22"/>
          <w:u w:val="single"/>
        </w:rPr>
        <w:t>Modification Offer</w:t>
      </w:r>
      <w:r>
        <w:rPr>
          <w:color w:val="000000"/>
        </w:rPr>
        <w:t>”</w:t>
      </w:r>
      <w:r>
        <w:rPr>
          <w:rFonts w:ascii="Times New Roman" w:hAnsi="Times New Roman"/>
          <w:color w:val="000000"/>
          <w:sz w:val="22"/>
        </w:rPr>
        <w:t>) to all the Lenders of one or more Classes (each Class subject to such a Loan Modification Offer, an “</w:t>
      </w:r>
      <w:r>
        <w:rPr>
          <w:rFonts w:ascii="Times New Roman" w:hAnsi="Times New Roman"/>
          <w:color w:val="000000"/>
          <w:sz w:val="22"/>
          <w:u w:val="single"/>
        </w:rPr>
        <w:t>Affected Class</w:t>
      </w:r>
      <w:r>
        <w:rPr>
          <w:color w:val="000000"/>
        </w:rPr>
        <w:t>”</w:t>
      </w:r>
      <w:r>
        <w:rPr>
          <w:rFonts w:ascii="Times New Roman" w:hAnsi="Times New Roman"/>
          <w:color w:val="000000"/>
          <w:sz w:val="22"/>
        </w:rPr>
        <w:t>) to effect one or more Permitted Amendments relating to such Affected Class pursuant to procedures reasonably specified by the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hAnsi="Times New Roman"/>
          <w:color w:val="000000"/>
          <w:sz w:val="22"/>
          <w:u w:val="single"/>
        </w:rPr>
        <w:t>Accepting Lenders</w:t>
      </w:r>
      <w:r>
        <w:rPr>
          <w:color w:val="000000"/>
        </w:rPr>
        <w:t>”</w:t>
      </w:r>
      <w:r>
        <w:rPr>
          <w:rFonts w:ascii="Times New Roman" w:hAnsi="Times New Roman"/>
          <w:color w:val="000000"/>
          <w:sz w:val="22"/>
        </w:rPr>
        <w:t>) and, in the case of any Accepting Lender, only with respect to such Lender’s Loans and Commitments of such Affected Class as to which such Lender’s acceptance has been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 Permitted Amendment shall be effected pursuant to a Loan Modification Agreement executed and delivered by Holdings, the Borrower, each applicable Accepting Lender and the Administrative Agent;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 Permitted Amendment shall become effective unless Holdings and the Borrower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in writing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 w:hAnsi="Times New Roman"/>
          <w:color w:val="000000"/>
          <w:sz w:val="22"/>
          <w:u w:val="single"/>
        </w:rPr>
        <w:t>Section 2.28</w:t>
      </w:r>
      <w:r>
        <w:rPr>
          <w:rFonts w:ascii="Times New Roman" w:hAnsi="Times New Roman"/>
          <w:color w:val="000000"/>
          <w:sz w:val="22"/>
        </w:rPr>
        <w:t>, including any amendments necessary to treat the applicable Loans and/or Commitments of the Accepting Lenders as a new or same “Class” of loans and/or commitments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If, in connection with any proposed Loan Modification Offer, any Lender declines to consent to such Loan Modification Offer on the terms and by the deadline set forth in such Loan Modification Offer (each such Lender, a “</w:t>
      </w:r>
      <w:r>
        <w:rPr>
          <w:rFonts w:ascii="Times New Roman" w:hAnsi="Times New Roman"/>
          <w:color w:val="000000"/>
          <w:sz w:val="22"/>
          <w:u w:val="single"/>
        </w:rPr>
        <w:t>Non-Accepting Lender</w:t>
      </w:r>
      <w:r>
        <w:rPr>
          <w:color w:val="000000"/>
        </w:rPr>
        <w:t>”</w:t>
      </w:r>
      <w:r>
        <w:rPr>
          <w:rFonts w:ascii="Times New Roman" w:hAnsi="Times New Roman"/>
          <w:color w:val="000000"/>
          <w:sz w:val="22"/>
        </w:rPr>
        <w:t xml:space="preserve">) then the Borrower may, on notice to the Administrative Agent and the Non-Accepting Lender, (i) replace such Non-Accepting Lender in whole or in part by causing such Lender to (and such Lender shall be obligated to) assign and delegate, without recourse (in accordance with and subject to the restrictions contained in </w:t>
      </w:r>
      <w:r>
        <w:rPr>
          <w:rFonts w:ascii="Times New Roman" w:hAnsi="Times New Roman"/>
          <w:color w:val="000000"/>
          <w:sz w:val="22"/>
          <w:u w:val="single"/>
        </w:rPr>
        <w:t>Section 11.4</w:t>
      </w:r>
      <w:r>
        <w:rPr>
          <w:rFonts w:ascii="Times New Roman" w:hAnsi="Times New Roman"/>
          <w:color w:val="000000"/>
          <w:sz w:val="22"/>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neither the Administrative Agent nor any Lender shall have any obligation to the Borrower to find a replacement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Times New Roman" w:hAnsi="Times New Roman"/>
          <w:color w:val="000000"/>
          <w:sz w:val="22"/>
          <w:u w:val="single"/>
        </w:rPr>
        <w:t>Section 2.28(c)</w:t>
      </w:r>
      <w:r>
        <w:rPr>
          <w:rFonts w:ascii="Times New Roman" w:hAnsi="Times New Roman"/>
          <w:color w:val="000000"/>
          <w:sz w:val="22"/>
        </w:rPr>
        <w:t xml:space="preserve">, accrued interest thereon, accrued fees and all other amounts payable to it hereunder from the Eligible Assignee (to the extent of such outstanding principal and accrued interest and fees) and (c) unless waived, the Borrower or such Eligible Assignee shall have paid to the Administrative Agent the processing and recordation fee specified in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11.4(b)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Notwithstanding anything to the contrary, this </w:t>
      </w:r>
      <w:r>
        <w:rPr>
          <w:rFonts w:ascii="Times New Roman" w:hAnsi="Times New Roman"/>
          <w:color w:val="000000"/>
          <w:sz w:val="22"/>
          <w:u w:val="single"/>
        </w:rPr>
        <w:t>Section 2.28</w:t>
      </w:r>
      <w:r>
        <w:rPr>
          <w:color w:val="000000"/>
        </w:rPr>
        <w:t xml:space="preserve"> </w:t>
      </w:r>
      <w:r>
        <w:rPr>
          <w:rFonts w:ascii="Times New Roman" w:hAnsi="Times New Roman"/>
          <w:color w:val="000000"/>
          <w:sz w:val="22"/>
        </w:rPr>
        <w:t xml:space="preserve">shall supersede any provisions in </w:t>
      </w:r>
      <w:r>
        <w:rPr>
          <w:rFonts w:ascii="Times New Roman" w:hAnsi="Times New Roman"/>
          <w:color w:val="000000"/>
          <w:sz w:val="22"/>
          <w:u w:val="single"/>
        </w:rPr>
        <w:t>Section 2.21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11.2</w:t>
      </w:r>
      <w:r>
        <w:rPr>
          <w:color w:val="000000"/>
        </w:rPr>
        <w:t xml:space="preserve"> </w:t>
      </w:r>
      <w:r>
        <w:rPr>
          <w:rFonts w:ascii="Times New Roman" w:hAnsi="Times New Roman"/>
          <w:color w:val="000000"/>
          <w:sz w:val="22"/>
        </w:rPr>
        <w:t>to the contrary.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2"/>
        </w:rPr>
      </w:pPr>
      <w:bookmarkStart w:id="392" w:name="article_iii___conditions_precedent_to_lo"/>
      <w:bookmarkEnd w:id="392"/>
      <w:r>
        <w:rPr>
          <w:rFonts w:ascii="Times New Roman" w:hAnsi="Times New Roman"/>
          <w:color w:val="000000"/>
          <w:sz w:val="22"/>
        </w:rPr>
        <w:t>ARTICLE III</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CONDITIONS PRECEDENT TO LOANS AND LETTERS OF CREDIT</w:t>
      </w:r>
    </w:p>
    <w:p>
      <w:pPr>
        <w:pStyle w:val="TextBody"/>
        <w:bidi w:val="0"/>
        <w:spacing w:before="240" w:after="283"/>
        <w:jc w:val="both"/>
        <w:rPr>
          <w:rFonts w:ascii="Times New Roman" w:hAnsi="Times New Roman"/>
          <w:sz w:val="20"/>
        </w:rPr>
      </w:pPr>
      <w:bookmarkStart w:id="393" w:name="section_3_1_conditions_to_effectiveness_"/>
      <w:bookmarkEnd w:id="393"/>
      <w:r>
        <w:rPr>
          <w:rFonts w:ascii="Times New Roman" w:hAnsi="Times New Roman"/>
          <w:color w:val="000000"/>
          <w:sz w:val="22"/>
        </w:rPr>
        <w:t xml:space="preserve">Section 3.1 </w:t>
      </w:r>
      <w:r>
        <w:rPr>
          <w:rFonts w:ascii="Times New Roman" w:hAnsi="Times New Roman"/>
          <w:color w:val="000000"/>
          <w:sz w:val="22"/>
          <w:u w:val="single"/>
        </w:rPr>
        <w:t>Conditions To Effectiveness</w:t>
      </w:r>
      <w:r>
        <w:rPr>
          <w:rFonts w:ascii="Times New Roman" w:hAnsi="Times New Roman"/>
          <w:color w:val="000000"/>
          <w:sz w:val="22"/>
        </w:rPr>
        <w:t>. This Agreement and the obligations of the Lenders (including the Swingline Lender) to make Loans and the obligation of the Issuing Bank to issue any Letter of Credit hereunder shall be effective upon satisfaction of the following conditions precedent in each case in form and substance satisfactory to the Administrative Agent and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Loan Documents</w:t>
      </w:r>
      <w:r>
        <w:rPr>
          <w:rFonts w:ascii="Times New Roman" w:hAnsi="Times New Roman"/>
          <w:color w:val="000000"/>
          <w:sz w:val="22"/>
        </w:rPr>
        <w:t>. Receipt by the Administrative Agent of a counterpart of this Agreement and the other Loan Documents signed by or on behalf of each party hereto or thereto or written evidence satisfactory to the Administrative Agent (which may include telecopy transmission of such signed signature page) that such party has signed a counterpart of this Agreement and the other Loan Documents to which such party is a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Organization Documents; Resolutions and Certificates</w:t>
      </w:r>
      <w:r>
        <w:rPr>
          <w:rFonts w:ascii="Times New Roman" w:hAnsi="Times New Roman"/>
          <w:color w:val="000000"/>
          <w:sz w:val="22"/>
        </w:rPr>
        <w:t>. Receipt by the Administrative Agent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certificate of the Secretary, Assistant Secretary or a Responsible Officer of each Loan Party, attaching and certifying copies of such Loan Party’s Organization Documents and resolutions of its board of directors (or equivalent governing body), authorizing the execution, delivery and performance of the Loan Documents to which it is a party and certifying the name, title and true signature of each officer of such Loan Party executing the Loan Documents to which it is a party;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certified copies of the articles or certificate of incorporation, certificate of organization or limited partnership, or other registered organizational documents of each Loan Party, together with certificates of good standing or existence, as may be available from the Secretary of State of the jurisdiction of organization of such Loan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Opinions of Counsel</w:t>
      </w:r>
      <w:r>
        <w:rPr>
          <w:rFonts w:ascii="Times New Roman" w:hAnsi="Times New Roman"/>
          <w:color w:val="000000"/>
          <w:sz w:val="22"/>
        </w:rPr>
        <w:t>. Receipt by the Administrative Agent of favorable written opinions of counsel to the Loan Parties addressed to the Administrative Agent, the Issuing Bank and each of the Lenders, and covering such matters relating to the Loan Parties, the Loan Documents and the transactions contemplated therein in form and substance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Officer’s Closing Certificate</w:t>
      </w:r>
      <w:r>
        <w:rPr>
          <w:rFonts w:ascii="Times New Roman" w:hAnsi="Times New Roman"/>
          <w:color w:val="000000"/>
          <w:sz w:val="22"/>
        </w:rPr>
        <w:t xml:space="preserve">. Receipt by the Administrative Agent of a certificate, dated the Closing Date and signed by a Responsible Officer of the Borrower, certifying that after giving effect to the funding of the Term Loan A and any other Credit Event to occur on the Closing Date, the conditions specified in </w:t>
      </w:r>
      <w:r>
        <w:rPr>
          <w:rFonts w:ascii="Times New Roman" w:hAnsi="Times New Roman"/>
          <w:color w:val="000000"/>
          <w:sz w:val="22"/>
          <w:u w:val="single"/>
        </w:rPr>
        <w:t>Sections 3.2(a)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and clause </w:t>
      </w:r>
      <w:r>
        <w:rPr>
          <w:rFonts w:ascii="Times New Roman" w:hAnsi="Times New Roman"/>
          <w:color w:val="000000"/>
          <w:sz w:val="22"/>
          <w:u w:val="single"/>
        </w:rPr>
        <w:t>(k)</w:t>
      </w:r>
      <w:r>
        <w:rPr>
          <w:color w:val="000000"/>
        </w:rPr>
        <w:t xml:space="preserve"> </w:t>
      </w:r>
      <w:r>
        <w:rPr>
          <w:rFonts w:ascii="Times New Roman" w:hAnsi="Times New Roman"/>
          <w:color w:val="000000"/>
          <w:sz w:val="22"/>
        </w:rPr>
        <w:t>are satisfied as of the Closing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Sources and Uses</w:t>
      </w:r>
      <w:r>
        <w:rPr>
          <w:rFonts w:ascii="Times New Roman" w:hAnsi="Times New Roman"/>
          <w:color w:val="000000"/>
          <w:sz w:val="22"/>
        </w:rPr>
        <w:t>. Receipt by the Administrative Agent of a duly executed funds disbursement agreement, together with a report setting forth the sources and uses of the proceeds 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Solvency</w:t>
      </w:r>
      <w:r>
        <w:rPr>
          <w:rFonts w:ascii="Times New Roman" w:hAnsi="Times New Roman"/>
          <w:color w:val="000000"/>
          <w:sz w:val="22"/>
        </w:rPr>
        <w:t>. Receipt by the Administrative Agent of a certificate, dated the Closing Date and signed by the chief financial officer of the Borrower, confirming that the Loan Parties, on a consolidated basis, are Solvent before and after giving effect to the funding of the Term Loan A and any other Credit Event to occur on the Closing Date and the consummation of the other transactions contemplated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Personal Property Collateral</w:t>
      </w:r>
      <w:r>
        <w:rPr>
          <w:rFonts w:ascii="Times New Roman" w:hAnsi="Times New Roman"/>
          <w:color w:val="000000"/>
          <w:sz w:val="22"/>
        </w:rPr>
        <w:t>. Receipt by the Administrative Agent of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searches of Uniform Commercial Code filings in the jurisdiction of formation of each Loan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Uniform Commercial Code financing statements for each appropriate jurisdiction as is necessary, in the Administrative Agent’s reasonable discretion, to perfect the Administrative Agent’s security interest in the Collateral;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all certificates evidencing any certificated Capital Stock pledged to the Administrative Agent pursuant to the Security Agreement or any other pledge agreement, together with duly executed in blank, undated stock powers attached thereto (unless, with respect to the pledged Capital Stock of any Foreign Subsidiary, such stock powers are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deemed unnecessary by the Administrative Agent in its reasonable discretion under the Law of the jurisdiction of organization of such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searches of ownership of, and Liens on, United States registered intellectual property owned by each Loan Party in the appropriate governmental offices;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duly executed notices of grant of security interest in the form required by any security agreement as are necessary, in the Administrative Agent’s reasonable discretion, to perfect the Administrative Agent’s security interest in the United States registered intellectual property owned by the Loan Parties (if and to the extent perfection may be achieved in the United States Patent and Trademark Office or the United States Copyright Office by such filings);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certificates of insurance issued on behalf of insurers of the Loan Parties, describing in reasonable detail the types and amounts of insurance (property and liability) maintained by the Loan Parties, and naming the Administrative Agent as additional insured on liability policies and lender’s loss payee on property and casualty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[Reserved]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[Reserved]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[Reserved]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Material Adverse Effect</w:t>
      </w:r>
      <w:r>
        <w:rPr>
          <w:rFonts w:ascii="Times New Roman" w:hAnsi="Times New Roman"/>
          <w:color w:val="000000"/>
          <w:sz w:val="22"/>
        </w:rPr>
        <w:t>. No Material Adverse Effect shall have occurred since the date of the Audited Financial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[Reserved]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Notice of Revolving Borrowing</w:t>
      </w:r>
      <w:r>
        <w:rPr>
          <w:rFonts w:ascii="Times New Roman" w:hAnsi="Times New Roman"/>
          <w:color w:val="000000"/>
          <w:sz w:val="22"/>
        </w:rPr>
        <w:t>. Receipt by the Administrative Agent of a Notice of Revolving Borrowing with respect to any Revolving Loans to be advanced on the Closing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Refinancing of Existing Indebtedness</w:t>
      </w:r>
      <w:r>
        <w:rPr>
          <w:rFonts w:ascii="Times New Roman" w:hAnsi="Times New Roman"/>
          <w:color w:val="000000"/>
          <w:sz w:val="22"/>
        </w:rPr>
        <w:t xml:space="preserve">. Receipt by the Administrative Agent of copies of duly executed payoff letters, in form and substance satisfactory to the Administrative Agent, together with: (i) evidence of payment in full of any Indebtedness that is not expressly permitted under this Agreement to remain outstanding after the Closing Date; (ii) UCC–3s, cancellations, releases, and/or other appropriate termination statements, each in form and substance satisfactory to the Administrative Agent, releasing all Liens that are not expressly permitted under the Agreement to remain in effect after the Closing Date, including, without limitation, all Liens granted under, or in connection with, any such Indebtedness referred to in the foregoing </w:t>
      </w:r>
      <w:r>
        <w:rPr>
          <w:rFonts w:ascii="Times New Roman" w:hAnsi="Times New Roman"/>
          <w:color w:val="000000"/>
          <w:sz w:val="22"/>
          <w:u w:val="single"/>
        </w:rPr>
        <w:t>clause (n)(i)</w:t>
      </w:r>
      <w:r>
        <w:rPr>
          <w:rFonts w:ascii="Times New Roman" w:hAnsi="Times New Roman"/>
          <w:color w:val="000000"/>
          <w:sz w:val="22"/>
        </w:rPr>
        <w:t xml:space="preserve">; and (iii) any other cancellations, releases, terminations, and/or other documents, filings or recordations reasonably required by the Administrative Agent to evidence the payoff of any such Indebtedness referred to in </w:t>
      </w:r>
      <w:r>
        <w:rPr>
          <w:rFonts w:ascii="Times New Roman" w:hAnsi="Times New Roman"/>
          <w:color w:val="000000"/>
          <w:sz w:val="22"/>
          <w:u w:val="single"/>
        </w:rPr>
        <w:t>clause (n)(i)</w:t>
      </w:r>
      <w:r>
        <w:rPr>
          <w:color w:val="000000"/>
        </w:rPr>
        <w:t xml:space="preserve"> </w:t>
      </w:r>
      <w:r>
        <w:rPr>
          <w:rFonts w:ascii="Times New Roman" w:hAnsi="Times New Roman"/>
          <w:color w:val="000000"/>
          <w:sz w:val="22"/>
        </w:rPr>
        <w:t>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PATRIOT Act; Anti-Money Laundering Laws</w:t>
      </w:r>
      <w:r>
        <w:rPr>
          <w:rFonts w:ascii="Times New Roman" w:hAnsi="Times New Roman"/>
          <w:color w:val="000000"/>
          <w:sz w:val="22"/>
        </w:rPr>
        <w:t xml:space="preserve">. At least three (3) days prior to the date of this Agreement, receipt by the Administrative Agent of all documentation and other information required by bank regulatory authorities or reasonably requested by the Administrative Agent or any Lender under or in respect of applicable “know your customer” and anti-money laundering laws including the PATRIOT Act and, if Borrower qualifies as a “legal entity customer” under the Beneficial Ownership Regulation, a Beneficial Ownership Certification in relation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 in each case to the extent requested of the Borrower at least ten (10) Business Days prior to the Closing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Financial Statements</w:t>
      </w:r>
      <w:r>
        <w:rPr>
          <w:rFonts w:ascii="Times New Roman" w:hAnsi="Times New Roman"/>
          <w:color w:val="000000"/>
          <w:sz w:val="22"/>
        </w:rPr>
        <w:t>. Receipt by the Administrative Agent of (i) the Audited Financial Statements and (ii) the Interim Financial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Fees and Expenses</w:t>
      </w:r>
      <w:r>
        <w:rPr>
          <w:rFonts w:ascii="Times New Roman" w:hAnsi="Times New Roman"/>
          <w:color w:val="000000"/>
          <w:sz w:val="22"/>
        </w:rPr>
        <w:t>. Receipt by the Administrative Agent of all fees, expenses and other amounts due and payable on, or prior to, the Closing Date, including, without limitation, reimbursement or payment of all out-of-pocket expenses of the Administrative Agent and Truist Securities (including reasonable fees, charges and disbursements of counsel to the Administrative Agent) required to be reimbursed or paid by the Borrower hereunder, under any other Loan Document and under any agreement with the Administrative Agent or Truist Securities.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Without limiting the generality of the provisions of this </w:t>
      </w:r>
      <w:r>
        <w:rPr>
          <w:rFonts w:ascii="Times New Roman" w:hAnsi="Times New Roman"/>
          <w:color w:val="000000"/>
          <w:sz w:val="22"/>
          <w:u w:val="single"/>
        </w:rPr>
        <w:t>Section 3.1</w:t>
      </w:r>
      <w:r>
        <w:rPr>
          <w:rFonts w:ascii="Times New Roman" w:hAnsi="Times New Roman"/>
          <w:color w:val="000000"/>
          <w:sz w:val="22"/>
        </w:rPr>
        <w:t xml:space="preserve">, for purposes of determining compliance with the conditions specified in this </w:t>
      </w:r>
      <w:r>
        <w:rPr>
          <w:rFonts w:ascii="Times New Roman" w:hAnsi="Times New Roman"/>
          <w:color w:val="000000"/>
          <w:sz w:val="22"/>
          <w:u w:val="single"/>
        </w:rPr>
        <w:t>Section 3.1</w:t>
      </w:r>
      <w:r>
        <w:rPr>
          <w:rFonts w:ascii="Times New Roman" w:hAnsi="Times New Roman"/>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Closing Date specifying its objection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3.2 </w:t>
      </w:r>
      <w:r>
        <w:rPr>
          <w:rFonts w:ascii="Times New Roman" w:hAnsi="Times New Roman"/>
          <w:color w:val="000000"/>
          <w:sz w:val="22"/>
          <w:u w:val="single"/>
        </w:rPr>
        <w:t>Each Credit Event.</w:t>
      </w:r>
      <w:r>
        <w:rPr>
          <w:rFonts w:ascii="Times New Roman" w:hAnsi="Times New Roman"/>
          <w:color w:val="000000"/>
          <w:sz w:val="20"/>
        </w:rPr>
        <w:t xml:space="preserve"> </w:t>
      </w:r>
      <w:r>
        <w:rPr>
          <w:rFonts w:ascii="Times New Roman" w:hAnsi="Times New Roman"/>
          <w:color w:val="000000"/>
          <w:sz w:val="22"/>
        </w:rPr>
        <w:t xml:space="preserve">Subject to the terms of </w:t>
      </w:r>
      <w:r>
        <w:rPr>
          <w:rFonts w:ascii="Times New Roman" w:hAnsi="Times New Roman"/>
          <w:color w:val="000000"/>
          <w:sz w:val="22"/>
          <w:u w:val="single"/>
        </w:rPr>
        <w:t>Section 1.9</w:t>
      </w:r>
      <w:r>
        <w:rPr>
          <w:rFonts w:ascii="Times New Roman" w:hAnsi="Times New Roman"/>
          <w:color w:val="000000"/>
          <w:sz w:val="20"/>
        </w:rPr>
        <w:t xml:space="preserve"> </w:t>
      </w:r>
      <w:r>
        <w:rPr>
          <w:rFonts w:ascii="Times New Roman" w:hAnsi="Times New Roman"/>
          <w:color w:val="000000"/>
          <w:sz w:val="22"/>
        </w:rPr>
        <w:t>with respect to any Limited Condition Transaction, the obligation of each Lender to make a Loan on the occasion of any Borrowing and of the Issuing Bank to issue, amend, renew or extend any Letter of Credit, in each case, is subject to the satisfaction of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the time of and immediately after giving effect to such Borrowing or the issuance, amendment, renewal or extension of such Letter of Credit, as applicable, no Default or Event of Default shall exist;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except to the extent that such representations and warranties specifically refer to an earlier date, in which case they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have delivered the required Notice of Borrowing;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if any Lender with a Revolving Commitment is a Defaulting Lender at the time of any request by the Borrower of a Borrowing of a Swingline Loan or the issuance, amendment, renewal or extension of a Letter of Credit, as applicable, set forth in this </w:t>
      </w:r>
      <w:r>
        <w:rPr>
          <w:rFonts w:ascii="Times New Roman" w:hAnsi="Times New Roman"/>
          <w:color w:val="000000"/>
          <w:sz w:val="22"/>
          <w:u w:val="single"/>
        </w:rPr>
        <w:t>Section 3.2</w:t>
      </w:r>
      <w:r>
        <w:rPr>
          <w:rFonts w:ascii="Times New Roman" w:hAnsi="Times New Roman"/>
          <w:color w:val="000000"/>
          <w:sz w:val="22"/>
        </w:rPr>
        <w:t>, the Issuing Bank will not be required to issue, amend or increase any Letter of Credit and the Swingline Lender will not be required to make any Swingline Loans, unless they are satisfied that 100% of the related LC Exposure and Swingline Exposure is fully covered or eliminated pursuant to Section 2.26.</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Borrowing and each issuance, amendment, extension or renewal of any Letter of Credit shall be deemed to constitute a representation and warranty by the Borrower on the date thereof as to the matters specified in Sections 3.2(a) and </w:t>
      </w:r>
      <w:r>
        <w:rPr>
          <w:rFonts w:ascii="Times New Roman" w:hAnsi="Times New Roman"/>
          <w:color w:val="000000"/>
          <w:sz w:val="22"/>
          <w:u w:val="single"/>
        </w:rPr>
        <w:t>3.2(b)</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bookmarkStart w:id="394" w:name="article_iv___representations_and_warrant"/>
      <w:bookmarkEnd w:id="394"/>
      <w:r>
        <w:rPr>
          <w:rFonts w:ascii="Times New Roman" w:hAnsi="Times New Roman"/>
          <w:color w:val="000000"/>
          <w:sz w:val="22"/>
        </w:rPr>
        <w:t>ARTICLE IV</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REPRESENTATIONS AND WARRANTIES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represents and warrants to the Administrative Agent and each Lender as follows:</w:t>
      </w:r>
    </w:p>
    <w:p>
      <w:pPr>
        <w:pStyle w:val="TextBody"/>
        <w:bidi w:val="0"/>
        <w:spacing w:before="240" w:after="283"/>
        <w:jc w:val="both"/>
        <w:rPr>
          <w:rFonts w:ascii="Times New Roman" w:hAnsi="Times New Roman"/>
          <w:sz w:val="20"/>
        </w:rPr>
      </w:pPr>
      <w:bookmarkStart w:id="395" w:name="section_4_1_existence__power___each_of_t"/>
      <w:bookmarkEnd w:id="395"/>
      <w:r>
        <w:rPr>
          <w:rFonts w:ascii="Times New Roman" w:hAnsi="Times New Roman"/>
          <w:color w:val="000000"/>
          <w:sz w:val="22"/>
        </w:rPr>
        <w:t xml:space="preserve">Section 4.1 </w:t>
      </w:r>
      <w:r>
        <w:rPr>
          <w:rFonts w:ascii="Times New Roman" w:hAnsi="Times New Roman"/>
          <w:color w:val="000000"/>
          <w:sz w:val="22"/>
          <w:u w:val="single"/>
        </w:rPr>
        <w:t>Existence; Power</w:t>
      </w:r>
      <w:r>
        <w:rPr>
          <w:rFonts w:ascii="Times New Roman" w:hAnsi="Times New Roman"/>
          <w:color w:val="000000"/>
          <w:sz w:val="22"/>
        </w:rPr>
        <w:t>. Each of the Loan Parties and each of their Subsidiaries (a) is duly organized, validly existing and in good standing as a corporation, partnership or limited liability company, as applicable, under the Laws of the jurisdiction of its organization, (b) has all requisite power and authority to carry on its business as now conducted, and (c) is duly qualified to do business, and is in good standing, in each jurisdiction where such qualification is required, except where a failure to be so qualified could not reasonably be expected to result in a Material Adverse Effect.</w:t>
      </w:r>
    </w:p>
    <w:p>
      <w:pPr>
        <w:pStyle w:val="TextBody"/>
        <w:bidi w:val="0"/>
        <w:spacing w:before="240" w:after="283"/>
        <w:jc w:val="both"/>
        <w:rPr>
          <w:rFonts w:ascii="Times New Roman" w:hAnsi="Times New Roman"/>
          <w:sz w:val="20"/>
        </w:rPr>
      </w:pPr>
      <w:bookmarkStart w:id="396" w:name="section_4_2_organizational_power__author"/>
      <w:bookmarkEnd w:id="396"/>
      <w:r>
        <w:rPr>
          <w:rFonts w:ascii="Times New Roman" w:hAnsi="Times New Roman"/>
          <w:color w:val="000000"/>
          <w:sz w:val="22"/>
        </w:rPr>
        <w:t xml:space="preserve">Section 4.2 </w:t>
      </w:r>
      <w:r>
        <w:rPr>
          <w:rFonts w:ascii="Times New Roman" w:hAnsi="Times New Roman"/>
          <w:color w:val="000000"/>
          <w:sz w:val="22"/>
          <w:u w:val="single"/>
        </w:rPr>
        <w:t>Organizational Power; Authorization; Enforceability</w:t>
      </w:r>
      <w:r>
        <w:rPr>
          <w:rFonts w:ascii="Times New Roman" w:hAnsi="Times New Roman"/>
          <w:color w:val="000000"/>
          <w:sz w:val="22"/>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each Loan Party, and constitutes, and each other Loan Document to which any Loan Party is party, when executed and delivered by such Loan Party, will constitute a legal, valid and binding obligation of each Loan Party, enforceable against such Loan Party party thereto, in accordance with their respective terms, except as may be limited by applicable bankruptcy, insolvency, reorganization, moratorium, or similar laws affecting the enforcement of creditors’ rights generally and by general principles of equity.</w:t>
      </w:r>
    </w:p>
    <w:p>
      <w:pPr>
        <w:pStyle w:val="TextBody"/>
        <w:bidi w:val="0"/>
        <w:spacing w:before="240" w:after="283"/>
        <w:jc w:val="both"/>
        <w:rPr>
          <w:rFonts w:ascii="Times New Roman" w:hAnsi="Times New Roman"/>
          <w:sz w:val="20"/>
        </w:rPr>
      </w:pPr>
      <w:bookmarkStart w:id="397" w:name="section_4_3_governmental_approvals__no_c"/>
      <w:bookmarkEnd w:id="397"/>
      <w:r>
        <w:rPr>
          <w:rFonts w:ascii="Times New Roman" w:hAnsi="Times New Roman"/>
          <w:color w:val="000000"/>
          <w:sz w:val="22"/>
        </w:rPr>
        <w:t xml:space="preserve">Section 4.3 </w:t>
      </w:r>
      <w:r>
        <w:rPr>
          <w:rFonts w:ascii="Times New Roman" w:hAnsi="Times New Roman"/>
          <w:color w:val="000000"/>
          <w:sz w:val="22"/>
          <w:u w:val="single"/>
        </w:rPr>
        <w:t>Governmental Approvals; No Conflicts</w:t>
      </w:r>
      <w:r>
        <w:rPr>
          <w:rFonts w:ascii="Times New Roman" w:hAnsi="Times New Roman"/>
          <w:color w:val="000000"/>
          <w:sz w:val="22"/>
        </w:rPr>
        <w:t>. The execution, delivery and performance by each Loan Party of this Agreement, and by each Loan Party of the other Loan Documents to which it is a party (a) do not and will not require any consent or approval of, registration or filing with, notice to, or any action by, any Governmental Authority, except (i) those as have been obtained or made and are in full force and effect and (ii) filings necessary to perfect and maintain the perfection of the Liens created by the Collateral Documents, (b) do not and will not violate the Organization Documents of any Loan Party or any Law applicable to any Loan Party or any of their Subsidiaries or any judgment, order, decree or ruling of any Governmental Authority, (c) do not and will not violate, conflict with, result in a breach or constitute (with due notice or lapse or time or both) a default under any indenture, agreement or other instrument binding on any Loan Party or any of their Subsidiaries or any of its assets or give rise to a right thereunder to require any payment to be made by any Loan Party or any of their Subsidiaries, (d) do not and will not result in the creation or imposition of any Lien on any asset or properties of any Loan Party or any of their Subsidiaries, except Liens (if any) created under the Loan Documents and (e) do not and will not require any approval of stockholders, members or partners or any approval or consent of any Person under any contractual obligation of any Loan Party or any of their Subsidiaries, except for such approvals or consents which will be obtained on or before the Closing Date and disclosed in writing to the Lenders.</w:t>
      </w:r>
    </w:p>
    <w:p>
      <w:pPr>
        <w:pStyle w:val="TextBody"/>
        <w:bidi w:val="0"/>
        <w:spacing w:before="240" w:after="283"/>
        <w:jc w:val="both"/>
        <w:rPr>
          <w:rFonts w:ascii="Times New Roman" w:hAnsi="Times New Roman"/>
          <w:sz w:val="20"/>
        </w:rPr>
      </w:pPr>
      <w:bookmarkStart w:id="398" w:name="section_4_4_financial_statements__the_bo"/>
      <w:bookmarkEnd w:id="398"/>
      <w:r>
        <w:rPr>
          <w:rFonts w:ascii="Times New Roman" w:hAnsi="Times New Roman"/>
          <w:color w:val="000000"/>
          <w:sz w:val="22"/>
        </w:rPr>
        <w:t xml:space="preserve">Section 4.4 </w:t>
      </w:r>
      <w:r>
        <w:rPr>
          <w:rFonts w:ascii="Times New Roman" w:hAnsi="Times New Roman"/>
          <w:color w:val="000000"/>
          <w:sz w:val="22"/>
          <w:u w:val="single"/>
        </w:rPr>
        <w:t>Financial Statements</w:t>
      </w:r>
      <w:r>
        <w:rPr>
          <w:rFonts w:ascii="Times New Roman" w:hAnsi="Times New Roman"/>
          <w:color w:val="000000"/>
          <w:sz w:val="22"/>
        </w:rPr>
        <w:t xml:space="preserve">. The Borrower has furnished to each Lender (a) the Audited Financial Statements and (b) the Interim Financial Statements. Such financial statements fairly present the consolidated financial condition of Holdings and its Subsidiaries as of such dates and the consolidated results of operations for such periods in conformity with GAAP consistently applied, subject to year-end audit adjustments and the absence of footnotes in the case of the Interim Financial Statements. The financial statements delivered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5.1(b)</w:t>
      </w:r>
      <w:r>
        <w:rPr>
          <w:rFonts w:ascii="Times New Roman" w:hAnsi="Times New Roman"/>
          <w:color w:val="000000"/>
          <w:sz w:val="20"/>
        </w:rPr>
        <w:t xml:space="preserve"> </w:t>
      </w:r>
      <w:r>
        <w:rPr>
          <w:rFonts w:ascii="Times New Roman" w:hAnsi="Times New Roman"/>
          <w:color w:val="000000"/>
          <w:sz w:val="22"/>
        </w:rPr>
        <w:t>have been prepared in accordance with GAAP and present fairly (on the basis disclosed in the footnotes to such financial statements) the consolidated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financial condition, results of operations and cash flows of Holdings and its Subsidiaries as of the dates thereof and for the periods covered thereby. Since the date of the Audited Financial Statements, there have been no changes with respect to Holdings, the Borrower and their respective Subsidiaries which have had or could reasonably be expected to have, singly or in the aggregate, a Material Adverse Effect.</w:t>
      </w:r>
    </w:p>
    <w:p>
      <w:pPr>
        <w:pStyle w:val="TextBody"/>
        <w:bidi w:val="0"/>
        <w:spacing w:before="240" w:after="283"/>
        <w:jc w:val="both"/>
        <w:rPr>
          <w:rFonts w:ascii="Times New Roman" w:hAnsi="Times New Roman"/>
          <w:sz w:val="20"/>
        </w:rPr>
      </w:pPr>
      <w:bookmarkStart w:id="399" w:name="section_4_5_litigation_and_environmental"/>
      <w:bookmarkEnd w:id="399"/>
      <w:r>
        <w:rPr>
          <w:rFonts w:ascii="Times New Roman" w:hAnsi="Times New Roman"/>
          <w:color w:val="000000"/>
          <w:sz w:val="22"/>
        </w:rPr>
        <w:t xml:space="preserve">Section 4.5 </w:t>
      </w:r>
      <w:r>
        <w:rPr>
          <w:rFonts w:ascii="Times New Roman" w:hAnsi="Times New Roman"/>
          <w:color w:val="000000"/>
          <w:sz w:val="22"/>
          <w:u w:val="single"/>
        </w:rPr>
        <w:t>Litigation and Environmental Matters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litigation, investigation or proceeding of or before any arbitrators or Governmental Authorities is pending against or, to the knowledge of any Responsible Officer, threatened in writing against or affecting Holdings, the Borrower or any of their respective Subsidiaries (i) that would reasonably be expected to have, either individually or in the aggregate, a Material Adverse Effect or (ii) which in any manner draws into question the validity or enforceability of this Agreement or any other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with respect to any matters that, either individually or in the aggregate, would not reasonably be expected to result in a Material Adverse Effect, neither Holdings, the Borrower nor any of their respective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00" w:name="section_4_6_compliance_with_laws_and_agr"/>
      <w:bookmarkEnd w:id="400"/>
      <w:r>
        <w:rPr>
          <w:rFonts w:ascii="Times New Roman" w:hAnsi="Times New Roman"/>
          <w:color w:val="000000"/>
          <w:sz w:val="22"/>
        </w:rPr>
        <w:t xml:space="preserve">Section 4.6 </w:t>
      </w:r>
      <w:r>
        <w:rPr>
          <w:rFonts w:ascii="Times New Roman" w:hAnsi="Times New Roman"/>
          <w:color w:val="000000"/>
          <w:sz w:val="22"/>
          <w:u w:val="single"/>
        </w:rPr>
        <w:t>Compliance with Laws and Agreements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where non-compliance, either individually or in the aggregate, would not reasonably be expected to result in a Material Adverse Effect, Holdings, the Borrower and each of their respective Subsidiaries is in compliance with (i) all Laws and all judgments, decrees and orders of any Governmental Authority and (ii) all indentures, agreements or other instruments binding upon it or its properties.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for any notices or other correspondence that could not reasonably be expected to have a Material Adverse Effect, Holdings and its Subsidiaries have not received from the FDA, a Warning Letter, Form FDA-483, “Untitled Letter,” other correspondence or notice setting forth allegedly objectionable observations or alleged violations of laws and regulations enforced by the FDA, or any comparable correspondence from any federal, state or local authority with regard to any Product or the manufacture, processing, packaging or holding thereof, or any comparable correspondence from any foreign counterpart of the FDA, or any comparable correspondence from any foreign counterpart of any federal, state or local authority with regard to any Product or the manufacture, processing, packing, or holding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and its Subsidiaries have not entered into any consent decree or order pursuant to any FDA Law and Regulations and neither Holdings nor any of its Subsidiaries is a party to any judgment, decree or judicial or administrative order pursuant to any FDA Law and Regulations, except for any decrees, judgments, or orders that could not reasonably be expected to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Neither Holdings nor any of its Subsidiaries, nor to the Borrower’s knowledge, any officer, employee, or agent of Holdings or any of its Subsidiaries, has (i) made any untrue statement of material fact or fraudulent statement to the FDA or any other Governmental Authority; (ii) failed to disclose a material fact required to be disclosed to the FDA or any other Governmental Authority; or (iii) committed an act, made a statement, or failed to make a statement that would reasonably be expected to provide the basis for the FDA or any other Governmental Authority to invoke its policy respecting “Fraud, Untrue Statements of Material Facts, Bribery, and Illegal Gratuities,” as set forth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56 Fed. Reg. 46191 (September 10, 1991). To the knowledge of Holdings and its Subsidiaries, no officer, employee or agent of Holdings and its Subsidiaries has been convicted of any crime or engaged in any conduct for which debarment is mandated or permitted by 21 U.S.C. § 335a.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Neither Holdings nor any of its Subsidiaries has introduced into commercial distribution any Products that were upon their shipment by Holdings or its Subsidiaries adulterated or misbranded in violation of 21 U.S.C. § 331 except for failures to be in compliance with the foregoing that individually or in the aggregate would not reasonably be expected to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Products manufactured, marketed, or distributed by Holdings and its Subsidiaries have been cleared or approved by the FDA or are exempt from such FDA clearance or approval in accordance with FDA Law and Regulations or a written FDA policy of enforcement discretion, including, without limitation, any Products manufactured by or for any third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and its Subsidiaries are and have been in compliance with the FDA’s good manufacturing practices (including, but not limited to, 21 C.F.R. Parts 210, 211, and 820) to the extent applicable to the operations of Holdings and its Subsidiaries and except for any non-compliance that individually or in the aggregate would not reasonably be expected to have a Material Adverse Effect. Neither Holdings nor any of its Subsidiaries and to the knowledge of Holdings and its Subsidiaries, any of their customers has, since the date three (3) years prior to the Closing Date, undertaken a recall or field correction or removal of any Product, except for any recalls, field corrections, or removals that individually or in the aggregate would not reasonably be expected to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and its Subsidiaries are and have been in compliance in all material respects with all Privacy Laws applicable to the conduct of its and its Subsidiaries’ business and the types of Personal Information that Holdings and its Subsidiaries collect from individuals and the uses and disclosures of such Personal Information by Holdings and its Subsidiaries. Neither Holdings nor any of its Subsidiaries has received written notice of any claim that Holdings, any of its Subsidiaries or any of their respective contractors or employees, has breached any Laws applicable to the collection, use or disclosure of Personal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01" w:name="section_4_7_no_default_"/>
      <w:bookmarkEnd w:id="401"/>
      <w:r>
        <w:rPr>
          <w:rFonts w:ascii="Times New Roman" w:hAnsi="Times New Roman"/>
          <w:color w:val="000000"/>
          <w:sz w:val="22"/>
        </w:rPr>
        <w:t xml:space="preserve">Section 4.7 </w:t>
      </w:r>
      <w:r>
        <w:rPr>
          <w:rFonts w:ascii="Times New Roman" w:hAnsi="Times New Roman"/>
          <w:color w:val="000000"/>
          <w:sz w:val="22"/>
          <w:u w:val="single"/>
        </w:rPr>
        <w:t>No Default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Loan Party nor any Subsidiary is in default under or with respect to any Contractual Obligation that could reasonably be expected to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Default or Event of Default has occurred and is continuing.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02" w:name="section_4_8_investment_company_act__etc_"/>
      <w:bookmarkEnd w:id="402"/>
      <w:r>
        <w:rPr>
          <w:rFonts w:ascii="Times New Roman" w:hAnsi="Times New Roman"/>
          <w:color w:val="000000"/>
          <w:sz w:val="22"/>
        </w:rPr>
        <w:t xml:space="preserve">Section 4.8 </w:t>
      </w:r>
      <w:r>
        <w:rPr>
          <w:rFonts w:ascii="Times New Roman" w:hAnsi="Times New Roman"/>
          <w:color w:val="000000"/>
          <w:sz w:val="22"/>
          <w:u w:val="single"/>
        </w:rPr>
        <w:t>Investment Company Act, Etc</w:t>
      </w:r>
      <w:r>
        <w:rPr>
          <w:rFonts w:ascii="Times New Roman" w:hAnsi="Times New Roman"/>
          <w:color w:val="000000"/>
          <w:sz w:val="22"/>
        </w:rPr>
        <w:t>. No Loan Party nor any of its Subsidiaries is (a) an “investment company” or is “controlled” by an “investment company”, as such terms are defined in, or subject to regulation under, the Investment Company Act of 1940, as amended, or (b) otherwise subject to any other regulatory scheme limiting its ability to incur debt or requiring any approval or consent from or registration or filing with, any Governmental Authority in connection therewith.</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03" w:name="section_4_9_taxes___the_loan_parties_and"/>
      <w:bookmarkEnd w:id="403"/>
      <w:r>
        <w:rPr>
          <w:rFonts w:ascii="Times New Roman" w:hAnsi="Times New Roman"/>
          <w:color w:val="000000"/>
          <w:sz w:val="22"/>
        </w:rPr>
        <w:t xml:space="preserve">Section 4.9 </w:t>
      </w:r>
      <w:r>
        <w:rPr>
          <w:rFonts w:ascii="Times New Roman" w:hAnsi="Times New Roman"/>
          <w:color w:val="000000"/>
          <w:sz w:val="22"/>
          <w:u w:val="single"/>
        </w:rPr>
        <w:t>Taxes</w:t>
      </w:r>
      <w:r>
        <w:rPr>
          <w:rFonts w:ascii="Times New Roman" w:hAnsi="Times New Roman"/>
          <w:color w:val="000000"/>
          <w:sz w:val="22"/>
        </w:rPr>
        <w:t>. The Loan Parties and their Subsidiaries have filed or caused to be filed all federal, state and other material tax returns required to be filed by them, and have paid all federal, state and other material taxes, assessments, fees or other charges imposed on them or any of their property by any Governmental Authority, except (a) where the same are being contested in good faith by appropriate proceedings and for which adequate reserves are being maintained in accordance with GAAP or (b) to the extent that the failure to do so could not reasonably be expected to have a Material Adverse Effect.</w:t>
      </w:r>
    </w:p>
    <w:p>
      <w:pPr>
        <w:pStyle w:val="TextBody"/>
        <w:bidi w:val="0"/>
        <w:spacing w:before="240" w:after="283"/>
        <w:jc w:val="both"/>
        <w:rPr>
          <w:rFonts w:ascii="Times New Roman" w:hAnsi="Times New Roman"/>
          <w:sz w:val="20"/>
        </w:rPr>
      </w:pPr>
      <w:bookmarkStart w:id="404" w:name="section_4_10_margin_regulations___none_o"/>
      <w:bookmarkEnd w:id="404"/>
      <w:r>
        <w:rPr>
          <w:rFonts w:ascii="Times New Roman" w:hAnsi="Times New Roman"/>
          <w:color w:val="000000"/>
          <w:sz w:val="22"/>
        </w:rPr>
        <w:t xml:space="preserve">Section 4.10 </w:t>
      </w:r>
      <w:r>
        <w:rPr>
          <w:rFonts w:ascii="Times New Roman" w:hAnsi="Times New Roman"/>
          <w:color w:val="000000"/>
          <w:sz w:val="22"/>
          <w:u w:val="single"/>
        </w:rPr>
        <w:t>Margin Regulations</w:t>
      </w:r>
      <w:r>
        <w:rPr>
          <w:rFonts w:ascii="Times New Roman" w:hAnsi="Times New Roman"/>
          <w:color w:val="000000"/>
          <w:sz w:val="22"/>
        </w:rPr>
        <w:t xml:space="preserve">. None of the proceeds of any of the Loans or Letters of Credit will be used, directly or indirectly, for “purchasing” or “carrying” any “margin stock” with the respective meanings of each of such terms under Regulation U or for any purpose that violates the provisions of the Regulation T, U or X. No Loan Party nor any of their Subsidiaries is engaged principally, or as one of its important activities, in the business of extending credit for the purpose of purchasing or carrying “margin stock”. Following the application of the proceeds of each Loan or Letter of Credit, not more than twenty-five percent (25%) of the value of the assets (either of the Borrower only or of Holdings and its Subsidiaries on a consolidated basis) subject to the provisions of </w:t>
      </w:r>
      <w:r>
        <w:rPr>
          <w:rFonts w:ascii="Times New Roman" w:hAnsi="Times New Roman"/>
          <w:color w:val="000000"/>
          <w:sz w:val="22"/>
          <w:u w:val="single"/>
        </w:rPr>
        <w:t>Section 7.2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7.6</w:t>
      </w:r>
      <w:r>
        <w:rPr>
          <w:rFonts w:ascii="Times New Roman" w:hAnsi="Times New Roman"/>
          <w:color w:val="000000"/>
          <w:sz w:val="20"/>
        </w:rPr>
        <w:t xml:space="preserve"> </w:t>
      </w:r>
      <w:r>
        <w:rPr>
          <w:rFonts w:ascii="Times New Roman" w:hAnsi="Times New Roman"/>
          <w:color w:val="000000"/>
          <w:sz w:val="22"/>
        </w:rPr>
        <w:t>or subject to any restriction contained in any agreement or instrument between the Borrower and any Lender or any Affiliate of a Lender relating to Material Indebtedness will be “margin stock”.</w:t>
      </w:r>
    </w:p>
    <w:p>
      <w:pPr>
        <w:pStyle w:val="TextBody"/>
        <w:bidi w:val="0"/>
        <w:spacing w:before="240" w:after="283"/>
        <w:jc w:val="both"/>
        <w:rPr>
          <w:rFonts w:ascii="Times New Roman" w:hAnsi="Times New Roman"/>
          <w:sz w:val="20"/>
        </w:rPr>
      </w:pPr>
      <w:bookmarkStart w:id="405" w:name="section_4_11_erisa___each_plan_is_in_sub"/>
      <w:bookmarkEnd w:id="405"/>
      <w:r>
        <w:rPr>
          <w:rFonts w:ascii="Times New Roman" w:hAnsi="Times New Roman"/>
          <w:color w:val="000000"/>
          <w:sz w:val="22"/>
        </w:rPr>
        <w:t xml:space="preserve">Section 4.11 </w:t>
      </w:r>
      <w:r>
        <w:rPr>
          <w:rFonts w:ascii="Times New Roman" w:hAnsi="Times New Roman"/>
          <w:color w:val="000000"/>
          <w:sz w:val="22"/>
          <w:u w:val="single"/>
        </w:rPr>
        <w:t>ERISA</w:t>
      </w:r>
      <w:r>
        <w:rPr>
          <w:rFonts w:ascii="Times New Roman" w:hAnsi="Times New Roman"/>
          <w:color w:val="000000"/>
          <w:sz w:val="22"/>
        </w:rPr>
        <w:t>. Each Plan is in substantial compliance in form and operation with its terms and with ERISA and the Code (including, without limitation, the Code provisions compliance with which is necessary for any intended favorable tax treatment) and all other applicable laws and regulations.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adversely affect the issuance of a favorable determination letter or otherwise adversely affect such qualification). No ERISA Event has occurred or is reasonably expected to occur. There exists no Unfunded Pension Liability with respect to any Plan. None of Holdings, the Borrower, any of their respective Subsidiaries or any ERISA Affiliate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(other than routine claims for benefits) or, to the knowledge of the Holdings, any of its Subsidiaries or any ERISA Affiliate, threatened, which would reasonably be expected to be asserted successfully against any Plan and, if so asserted successfully, would reasonably be expected either singly or in the aggregate to result in liability to Holdings, the Borrower or any of their respective Subsidiaries. None of Holdings, the Borrower, any of their respective Subsidiaries or any ERISA Affiliate have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 liability to Holdings, the Borrower or any of their respective Subsidiaries. All contributions required to be made with respect to a Non-U.S. Plan have been timely made. Neither Holdings, the Borrower nor any of their respective Subsidiaries has incurred any obligation in connection with the termination of, or withdrawal from, any Non-U.S. Plan. The present value of the accrued benefit liabilities (whether or not vested) under each Non-U.S. Plan, determined as of the end of Holdings’ most recently ended fiscal year on the basis of reasonable actuarial assumptions, did not exceed the current value of the assets of such Non-U.S. Plan allocable to such benefit liabilities.</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06" w:name="section_4_12_ownership_of_property__inte"/>
      <w:bookmarkEnd w:id="406"/>
      <w:r>
        <w:rPr>
          <w:rFonts w:ascii="Times New Roman" w:hAnsi="Times New Roman"/>
          <w:color w:val="000000"/>
          <w:sz w:val="22"/>
        </w:rPr>
        <w:t xml:space="preserve">Section 4.12 </w:t>
      </w:r>
      <w:r>
        <w:rPr>
          <w:rFonts w:ascii="Times New Roman" w:hAnsi="Times New Roman"/>
          <w:color w:val="000000"/>
          <w:sz w:val="22"/>
          <w:u w:val="single"/>
        </w:rPr>
        <w:t>Ownership of Property; Intellectual Property; Insurance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Loan Party and each of its Subsidiaries has good title to, or valid leasehold interests in, all of its real and personal property material to the operation of its business, including all such properties reflected in the Audited Financial Statements or the most recent audited consolidated balance sheet of Holdings delivered pursuant to </w:t>
      </w:r>
      <w:r>
        <w:rPr>
          <w:rFonts w:ascii="Times New Roman" w:hAnsi="Times New Roman"/>
          <w:color w:val="000000"/>
          <w:sz w:val="22"/>
          <w:u w:val="single"/>
        </w:rPr>
        <w:t>Section 5.1(a)</w:t>
      </w:r>
      <w:r>
        <w:rPr>
          <w:color w:val="000000"/>
        </w:rPr>
        <w:t xml:space="preserve"> </w:t>
      </w:r>
      <w:r>
        <w:rPr>
          <w:rFonts w:ascii="Times New Roman" w:hAnsi="Times New Roman"/>
          <w:color w:val="000000"/>
          <w:sz w:val="22"/>
        </w:rPr>
        <w:t>or purported to have been acquired by Holdings, the Borrower or any Subsidiary after said date (except as sold or otherwise disposed of in the ordinary course of business), in each case free and clear of Liens not permitted by this Agreement. Except if the failure to do so could not reasonably be expected to have a Material Adverse Effect, all leases that individually or in the aggregate are material to the business or operations of Holdings, the Borrower and their respective Subsidiaries are valid and subsisting and are in full force.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Loan Parties and their Subsidiaries owns, or is licensed, or otherwise has the right, to use, all patents, trademarks, service marks, trade names, copyrights and other intellectual property material to its business, and the use thereof by the Loan Parties and their Subsidiaries, to the knowledge of the Borrower, does not infringe in any material respect on the rights of any other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properties of the Loan Parties and their Subsidiaries are insured with financially sound and reputable insurance companies which are not Affiliates of the Borrower, in such amounts with such deductibles and covering such risks as are customarily carried by companies engaged in similar businesses and owning similar properties in localities where such Loan Party or any applicable Subsidiary operates.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07" w:name="section_4_13_disclosure_"/>
      <w:bookmarkEnd w:id="407"/>
      <w:r>
        <w:rPr>
          <w:rFonts w:ascii="Times New Roman" w:hAnsi="Times New Roman"/>
          <w:color w:val="000000"/>
          <w:sz w:val="22"/>
        </w:rPr>
        <w:t xml:space="preserve">Section 4.13 </w:t>
      </w:r>
      <w:r>
        <w:rPr>
          <w:rFonts w:ascii="Times New Roman" w:hAnsi="Times New Roman"/>
          <w:color w:val="000000"/>
          <w:sz w:val="22"/>
          <w:u w:val="single"/>
        </w:rPr>
        <w:t>Disclosure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Loan Party has disclosed to the Lenders all agreements, instruments, and corporate or other restrictions to which it or any of its Subsidiaries is subject, and all other matters known to any of them, that, individually or in the aggregate, could reasonably be expected to result in a Material Adverse Effect. Neither the Lender Presentation nor any of the reports (including without limitation all reports that any Loan Party is required to file with the SEC), financial statements, certificates or other information furnished in writing by or on behalf of any Loan Party or any Subsidiary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Times New Roman" w:hAnsi="Times New Roman"/>
          <w:color w:val="000000"/>
          <w:sz w:val="22"/>
          <w:u w:val="single"/>
        </w:rPr>
        <w:t>provided</w:t>
      </w:r>
      <w:r>
        <w:rPr>
          <w:rFonts w:ascii="Times New Roman" w:hAnsi="Times New Roman"/>
          <w:color w:val="000000"/>
          <w:sz w:val="22"/>
        </w:rPr>
        <w:t>, that, with respect to estimates, forecasts, projections and other forward-looking information, Holdings and the Borrower represents only that such information was prepared in good faith based upon assumptions believed to be reasonable at the time; it being understood and agreed that (i) any financial or business projections furnished by Holdings or the Borrower are subject to significant uncertainties and contingencies, which may be beyond the control of the Borrower, (ii) no assurance is given by Holdings or the Borrower that the results of such projections will be realized and (iii) the actual results may differ from the results of such projections and such differences may be material.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of the Closing Date, the information included in the Beneficial Ownership Certification is true and correct in all respects.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08" w:name="section_4_14_labor_relations___there_are"/>
      <w:bookmarkEnd w:id="408"/>
      <w:r>
        <w:rPr>
          <w:rFonts w:ascii="Times New Roman" w:hAnsi="Times New Roman"/>
          <w:color w:val="000000"/>
          <w:sz w:val="22"/>
        </w:rPr>
        <w:t xml:space="preserve">Section 4.14 </w:t>
      </w:r>
      <w:r>
        <w:rPr>
          <w:rFonts w:ascii="Times New Roman" w:hAnsi="Times New Roman"/>
          <w:color w:val="000000"/>
          <w:sz w:val="22"/>
          <w:u w:val="single"/>
        </w:rPr>
        <w:t>Labor Relations</w:t>
      </w:r>
      <w:r>
        <w:rPr>
          <w:rFonts w:ascii="Times New Roman" w:hAnsi="Times New Roman"/>
          <w:color w:val="000000"/>
          <w:sz w:val="22"/>
        </w:rPr>
        <w:t xml:space="preserve">. There are (a) no strikes, lockouts or other material labor disputes or grievances against Holdings or any Subsidiary, or, to the knowledge of a Responsible Officer of Holdings or any Subsidiary, threatened in writing against or affecting Holdings or any Subsidiary, (b) no significant unfair labor practice, charges or grievances are pending against Holdings or any Subsidiary, or to the knowledge of a Responsible Officer of Holdings or any Subsidiary, threatened against any of them before any Governmental Authority and (c) all material payments due from Holdings or any Subsidiary pursuant to the provisions of any collective bargaining agreement have been paid or accrued as a liability on the books of Holdings or any such Subsidiary, except (with respect to any matter specified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wither individually of in the aggregate) where the failure to do so could not reasonably be expected to have a Material Adverse Effect.</w:t>
      </w:r>
    </w:p>
    <w:p>
      <w:pPr>
        <w:pStyle w:val="TextBody"/>
        <w:bidi w:val="0"/>
        <w:spacing w:before="240" w:after="283"/>
        <w:jc w:val="both"/>
        <w:rPr>
          <w:rFonts w:ascii="Times New Roman" w:hAnsi="Times New Roman"/>
          <w:sz w:val="20"/>
        </w:rPr>
      </w:pPr>
      <w:bookmarkStart w:id="409" w:name="section_4_15_subsidiaries___schedule_4_1"/>
      <w:bookmarkEnd w:id="409"/>
      <w:r>
        <w:rPr>
          <w:rFonts w:ascii="Times New Roman" w:hAnsi="Times New Roman"/>
          <w:color w:val="000000"/>
          <w:sz w:val="22"/>
        </w:rPr>
        <w:t xml:space="preserve">Section 4.15 </w:t>
      </w:r>
      <w:r>
        <w:rPr>
          <w:rFonts w:ascii="Times New Roman" w:hAnsi="Times New Roman"/>
          <w:color w:val="000000"/>
          <w:sz w:val="22"/>
          <w:u w:val="single"/>
        </w:rPr>
        <w:t>Subsidiaries</w:t>
      </w:r>
      <w:r>
        <w:rPr>
          <w:rFonts w:ascii="Times New Roman" w:hAnsi="Times New Roman"/>
          <w:color w:val="000000"/>
          <w:sz w:val="22"/>
        </w:rPr>
        <w:t xml:space="preserve">. </w:t>
      </w:r>
      <w:r>
        <w:rPr>
          <w:rFonts w:ascii="Times New Roman" w:hAnsi="Times New Roman"/>
          <w:color w:val="000000"/>
          <w:sz w:val="22"/>
          <w:u w:val="single"/>
        </w:rPr>
        <w:t>Schedule 4.15</w:t>
      </w:r>
      <w:r>
        <w:rPr>
          <w:rFonts w:ascii="Times New Roman" w:hAnsi="Times New Roman"/>
          <w:color w:val="000000"/>
          <w:sz w:val="20"/>
        </w:rPr>
        <w:t xml:space="preserve"> </w:t>
      </w:r>
      <w:r>
        <w:rPr>
          <w:rFonts w:ascii="Times New Roman" w:hAnsi="Times New Roman"/>
          <w:color w:val="000000"/>
          <w:sz w:val="22"/>
        </w:rPr>
        <w:t xml:space="preserve">sets forth (a) the name of, the ownership interest of each Loan Party in, the jurisdiction of incorporation or organization of, and the type of, each Subsidiary and identifies each Subsidiary that is a Loan Party, in each case as of the Closing Date and (b) the authorized Capital Stock of the Borrower and each of the Subsidiaries of Holdings as of the Closing Date. All issued and outstanding Capital Stock of the Borrower and each Subsidiary of Holdings is duly authorized and validly issued, fully paid, non-assessable, as applicable, and free and clear of all Liens other than those in favor of the Administrative Agent, for the benefit of the Secured Parties. All such securities were issued in compliance with all applicable state and federal Laws concerning the issuance of securities. As of the Closing Date, all of the issued and outstanding Capital Stock of the Borrower and each of the Subsidiaries of Holdings is owned by the Persons and in the amounts set forth on </w:t>
      </w:r>
      <w:r>
        <w:rPr>
          <w:rFonts w:ascii="Times New Roman" w:hAnsi="Times New Roman"/>
          <w:color w:val="000000"/>
          <w:sz w:val="22"/>
          <w:u w:val="single"/>
        </w:rPr>
        <w:t xml:space="preserve">Schedule 4.15. </w:t>
      </w:r>
      <w:r>
        <w:rPr>
          <w:rFonts w:ascii="Times New Roman" w:hAnsi="Times New Roman"/>
          <w:color w:val="000000"/>
          <w:sz w:val="22"/>
        </w:rPr>
        <w:t xml:space="preserve">Except as set forth on </w:t>
      </w:r>
      <w:r>
        <w:rPr>
          <w:rFonts w:ascii="Times New Roman" w:hAnsi="Times New Roman"/>
          <w:color w:val="000000"/>
          <w:sz w:val="22"/>
          <w:u w:val="single"/>
        </w:rPr>
        <w:t>Schedule 4.15</w:t>
      </w:r>
      <w:r>
        <w:rPr>
          <w:rFonts w:ascii="Times New Roman" w:hAnsi="Times New Roman"/>
          <w:color w:val="000000"/>
          <w:sz w:val="22"/>
        </w:rPr>
        <w:t>, there are no pre-emptive or other outstanding rights, options, warrants, conversion rights, commitments or other similar agreements or understandings for the purchase or acquisition of any Capital Stock of the Borrower or any the Subsidiaries of Holdings, and there are no membership interest or other Capital Stock of the Borrower or any of the Subsidiaries of Holdings outstanding which upon conversion or exchange would require the issuance by the Borrower or any Subsidiary of Holdings of any additional membership interests or other Capital Stock of the Borrower or any Subsidiary of Holdings or other securities convertible into, exchangeable for or evidencing the right to subscribe for a purchase, a membership interest or other Capital Stock of the Borrower or any Subsidiary of Holdings.</w:t>
      </w:r>
    </w:p>
    <w:p>
      <w:pPr>
        <w:pStyle w:val="TextBody"/>
        <w:bidi w:val="0"/>
        <w:spacing w:before="240" w:after="283"/>
        <w:jc w:val="both"/>
        <w:rPr>
          <w:rFonts w:ascii="Times New Roman" w:hAnsi="Times New Roman"/>
          <w:sz w:val="20"/>
        </w:rPr>
      </w:pPr>
      <w:bookmarkStart w:id="410" w:name="section_4_16_solvency___after_giving_eff"/>
      <w:bookmarkEnd w:id="410"/>
      <w:r>
        <w:rPr>
          <w:rFonts w:ascii="Times New Roman" w:hAnsi="Times New Roman"/>
          <w:color w:val="000000"/>
          <w:sz w:val="22"/>
        </w:rPr>
        <w:t xml:space="preserve">Section 4.16 </w:t>
      </w:r>
      <w:r>
        <w:rPr>
          <w:rFonts w:ascii="Times New Roman" w:hAnsi="Times New Roman"/>
          <w:color w:val="000000"/>
          <w:sz w:val="22"/>
          <w:u w:val="single"/>
        </w:rPr>
        <w:t>Solvency</w:t>
      </w:r>
      <w:r>
        <w:rPr>
          <w:rFonts w:ascii="Times New Roman" w:hAnsi="Times New Roman"/>
          <w:color w:val="000000"/>
          <w:sz w:val="22"/>
        </w:rPr>
        <w:t>. After giving effect to the execution and delivery of the Loan Documents and the making of the Loans under this Agreement, the Loan Parties are Solvent on a consolidated basis.</w:t>
      </w:r>
    </w:p>
    <w:p>
      <w:pPr>
        <w:pStyle w:val="TextBody"/>
        <w:bidi w:val="0"/>
        <w:spacing w:before="240" w:after="283"/>
        <w:jc w:val="both"/>
        <w:rPr>
          <w:rFonts w:ascii="Times New Roman" w:hAnsi="Times New Roman"/>
          <w:sz w:val="20"/>
        </w:rPr>
      </w:pPr>
      <w:bookmarkStart w:id="411" w:name="section_4_17_business_locations__taxpaye"/>
      <w:bookmarkEnd w:id="411"/>
      <w:r>
        <w:rPr>
          <w:rFonts w:ascii="Times New Roman" w:hAnsi="Times New Roman"/>
          <w:color w:val="000000"/>
          <w:sz w:val="22"/>
        </w:rPr>
        <w:t xml:space="preserve">Section 4.17 </w:t>
      </w:r>
      <w:r>
        <w:rPr>
          <w:rFonts w:ascii="Times New Roman" w:hAnsi="Times New Roman"/>
          <w:color w:val="000000"/>
          <w:sz w:val="22"/>
          <w:u w:val="single"/>
        </w:rPr>
        <w:t>Business Locations; Taxpayer Identification Number; Deposit Accounts</w:t>
      </w:r>
      <w:r>
        <w:rPr>
          <w:rFonts w:ascii="Times New Roman" w:hAnsi="Times New Roman"/>
          <w:color w:val="000000"/>
          <w:sz w:val="22"/>
        </w:rPr>
        <w:t xml:space="preserve">. Set forth on </w:t>
      </w:r>
      <w:r>
        <w:rPr>
          <w:rFonts w:ascii="Times New Roman" w:hAnsi="Times New Roman"/>
          <w:color w:val="000000"/>
          <w:sz w:val="22"/>
          <w:u w:val="single"/>
        </w:rPr>
        <w:t>Schedule 4.17-1</w:t>
      </w:r>
      <w:r>
        <w:rPr>
          <w:rFonts w:ascii="Times New Roman" w:hAnsi="Times New Roman"/>
          <w:color w:val="000000"/>
          <w:sz w:val="20"/>
        </w:rPr>
        <w:t xml:space="preserve"> </w:t>
      </w:r>
      <w:r>
        <w:rPr>
          <w:rFonts w:ascii="Times New Roman" w:hAnsi="Times New Roman"/>
          <w:color w:val="000000"/>
          <w:sz w:val="22"/>
        </w:rPr>
        <w:t xml:space="preserve">is a list of all real property located in the United States that is owned or leased by any Loan Party as of the Closing Date (identifying whether such real property is owned or leased and which Loan Party owns or leases such real property). Set forth on </w:t>
      </w:r>
      <w:r>
        <w:rPr>
          <w:rFonts w:ascii="Times New Roman" w:hAnsi="Times New Roman"/>
          <w:color w:val="000000"/>
          <w:sz w:val="22"/>
          <w:u w:val="single"/>
        </w:rPr>
        <w:t>Schedule 4.17-2</w:t>
      </w:r>
      <w:r>
        <w:rPr>
          <w:rFonts w:ascii="Times New Roman" w:hAnsi="Times New Roman"/>
          <w:color w:val="000000"/>
          <w:sz w:val="20"/>
        </w:rPr>
        <w:t xml:space="preserve"> </w:t>
      </w:r>
      <w:r>
        <w:rPr>
          <w:rFonts w:ascii="Times New Roman" w:hAnsi="Times New Roman"/>
          <w:color w:val="000000"/>
          <w:sz w:val="22"/>
        </w:rPr>
        <w:t xml:space="preserve">is the chief executive office, U.S. federal taxpayer identification number and organizational identification number of each Loan Party as of the Closing Date. The exact legal name and state of organization of each Loan Party as of the Closing Date is as set forth on the signature pages hereto. Except as set forth on </w:t>
      </w:r>
      <w:r>
        <w:rPr>
          <w:rFonts w:ascii="Times New Roman" w:hAnsi="Times New Roman"/>
          <w:color w:val="000000"/>
          <w:sz w:val="22"/>
          <w:u w:val="single"/>
        </w:rPr>
        <w:t>Schedule 4.17-3</w:t>
      </w:r>
      <w:r>
        <w:rPr>
          <w:rFonts w:ascii="Times New Roman" w:hAnsi="Times New Roman"/>
          <w:color w:val="000000"/>
          <w:sz w:val="22"/>
        </w:rPr>
        <w:t xml:space="preserve">, no Loan Party has during the five years preceding the Closing Date (i) changed its legal name, (ii) changed its state of formation, or (iii) been party to a merger, consolidation or other change in structure. Set forth on </w:t>
      </w:r>
      <w:r>
        <w:rPr>
          <w:rFonts w:ascii="Times New Roman" w:hAnsi="Times New Roman"/>
          <w:color w:val="000000"/>
          <w:sz w:val="22"/>
          <w:u w:val="single"/>
        </w:rPr>
        <w:t>Schedule 4.17-4</w:t>
      </w:r>
      <w:r>
        <w:rPr>
          <w:rFonts w:ascii="Times New Roman" w:hAnsi="Times New Roman"/>
          <w:color w:val="000000"/>
          <w:sz w:val="20"/>
        </w:rPr>
        <w:t xml:space="preserve"> </w:t>
      </w:r>
      <w:r>
        <w:rPr>
          <w:rFonts w:ascii="Times New Roman" w:hAnsi="Times New Roman"/>
          <w:color w:val="000000"/>
          <w:sz w:val="22"/>
        </w:rPr>
        <w:t>is a complete and accurate list as of the Closing Date of all Deposit Accounts (as defined in the UCC) and Securities Accounts (as defined in the UCC) of each Loan Party at any bank or other financial institution, in each case, identifying the type of account and whether such Deposit Account (as defined in the UCC) or Securities Account (as defined in the UCC) is an Excluded Account.</w:t>
      </w:r>
    </w:p>
    <w:p>
      <w:pPr>
        <w:pStyle w:val="TextBody"/>
        <w:bidi w:val="0"/>
        <w:spacing w:before="240" w:after="283"/>
        <w:jc w:val="both"/>
        <w:rPr>
          <w:rFonts w:ascii="Times New Roman" w:hAnsi="Times New Roman"/>
          <w:sz w:val="20"/>
        </w:rPr>
      </w:pPr>
      <w:bookmarkStart w:id="412" w:name="section_4_18_material_agreements___as_of"/>
      <w:bookmarkEnd w:id="412"/>
      <w:r>
        <w:rPr>
          <w:rFonts w:ascii="Times New Roman" w:hAnsi="Times New Roman"/>
          <w:color w:val="000000"/>
          <w:sz w:val="22"/>
        </w:rPr>
        <w:t xml:space="preserve">Section 4.18 </w:t>
      </w:r>
      <w:r>
        <w:rPr>
          <w:rFonts w:ascii="Times New Roman" w:hAnsi="Times New Roman"/>
          <w:color w:val="000000"/>
          <w:sz w:val="22"/>
          <w:u w:val="single"/>
        </w:rPr>
        <w:t>Material Agreements</w:t>
      </w:r>
      <w:r>
        <w:rPr>
          <w:rFonts w:ascii="Times New Roman" w:hAnsi="Times New Roman"/>
          <w:color w:val="000000"/>
          <w:sz w:val="22"/>
        </w:rPr>
        <w:t xml:space="preserve">. As of the Closing Date, all Material Agreements of Holdings, the Borrower and their respective Subsidiaries are set forth on </w:t>
      </w:r>
      <w:r>
        <w:rPr>
          <w:rFonts w:ascii="Times New Roman" w:hAnsi="Times New Roman"/>
          <w:color w:val="000000"/>
          <w:sz w:val="22"/>
          <w:u w:val="single"/>
        </w:rPr>
        <w:t>Schedule 4.18</w:t>
      </w:r>
      <w:r>
        <w:rPr>
          <w:rFonts w:ascii="Times New Roman" w:hAnsi="Times New Roman"/>
          <w:color w:val="000000"/>
          <w:sz w:val="22"/>
        </w:rPr>
        <w:t>, and each such Material Agreement is in full force and effect. The Borrower does not have any knowledge of any pending amendments or threatened termination of any of the Material Agreements. As of the Closing Date,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 has delivered to the Administrative Agent a true, complete and correct copy of each Material Agreement (including all schedules, exhibits, amendments, supplements, modifications, assignments and all other documents delivered pursuant thereto or in connection therewith).</w:t>
      </w:r>
    </w:p>
    <w:p>
      <w:pPr>
        <w:pStyle w:val="TextBody"/>
        <w:bidi w:val="0"/>
        <w:spacing w:before="240" w:after="283"/>
        <w:jc w:val="both"/>
        <w:rPr>
          <w:rFonts w:ascii="Times New Roman" w:hAnsi="Times New Roman"/>
          <w:sz w:val="20"/>
        </w:rPr>
      </w:pPr>
      <w:bookmarkStart w:id="413" w:name="section_4_19_sanctions_and_anti_corrupti"/>
      <w:bookmarkEnd w:id="413"/>
      <w:r>
        <w:rPr>
          <w:rFonts w:ascii="Times New Roman" w:hAnsi="Times New Roman"/>
          <w:color w:val="000000"/>
          <w:sz w:val="22"/>
        </w:rPr>
        <w:t xml:space="preserve">Section 4.19 </w:t>
      </w:r>
      <w:r>
        <w:rPr>
          <w:rFonts w:ascii="Times New Roman" w:hAnsi="Times New Roman"/>
          <w:color w:val="000000"/>
          <w:sz w:val="22"/>
          <w:u w:val="single"/>
        </w:rPr>
        <w:t>Sanctions and Anti-Corruption Laws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Holdings, the Borrower or any of their respective Subsidiaries or any of their respective directors, managers, members, officers, employees, agents or affiliates is a Sanctioned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the Borrower, their respective Subsidiaries and their respective directors, managers, members, officers and employees and, to the knowledge of the Borrower, the agents of Holdings, the Borrower and their respective Subsidiaries, are in compliance with applicable Anti-Corruption Laws and applicable Sanctions. Holdings, the Borrower and their respective Subsidiaries have instituted and maintain policies and procedures designed to promote and achieve continued compliance with applicable Sanctions and Anti-Corruption Laws.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 proceeds of any Credit Event have been used, directly or indirectly, by Holdings, the Borrower or any of their respective Subsidiaries or any of its or their respective directors, managers, members, officers, employees and agents in violation of </w:t>
      </w:r>
      <w:r>
        <w:rPr>
          <w:rFonts w:ascii="Times New Roman" w:hAnsi="Times New Roman"/>
          <w:color w:val="000000"/>
          <w:sz w:val="22"/>
          <w:u w:val="single"/>
        </w:rPr>
        <w:t>Section 7.17</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14" w:name="section_4_20_subordination_of_subordinat"/>
      <w:bookmarkEnd w:id="414"/>
      <w:r>
        <w:rPr>
          <w:rFonts w:ascii="Times New Roman" w:hAnsi="Times New Roman"/>
          <w:color w:val="000000"/>
          <w:sz w:val="22"/>
        </w:rPr>
        <w:t xml:space="preserve">Section 4.20 </w:t>
      </w:r>
      <w:r>
        <w:rPr>
          <w:rFonts w:ascii="Times New Roman" w:hAnsi="Times New Roman"/>
          <w:color w:val="000000"/>
          <w:sz w:val="22"/>
          <w:u w:val="single"/>
        </w:rPr>
        <w:t>Subordination of Subordinated Debt</w:t>
      </w:r>
      <w:r>
        <w:rPr>
          <w:rFonts w:ascii="Times New Roman" w:hAnsi="Times New Roman"/>
          <w:color w:val="000000"/>
          <w:sz w:val="22"/>
        </w:rPr>
        <w:t>. This Agreement, and all amendments, modifications, extensions, renewals, refinancings and refundings hereof, constitute the “Senior Credit Agreement” within the meaning of any applicable Subordinated Debt Document; this Agreement, together with each of the other Loan Documents and all amendments, modifications, extensions, renewals, refinancings and refundings hereof and thereof, constitute “Senior Loan Documents” under any documentation with respect to Permitted Subordinated Indebtedness; and the Revolving Loans, the Term Loans and all other Obligations of the Loan Parties to the Lenders and the Administrative Agent under this Agreement and all other Loan Documents, and all amendments, modifications, extensions, renewals, refinancings or refundings of any of the foregoing, constitute “Senior Indebtedness” of the Loan Parties, and the holders thereof from time to time shall be entitled to all of the rights of a holder of “Senior Indebtedness” pursuant to any documentation with respect to Permitted Subordinated Indebtedness.</w:t>
      </w:r>
    </w:p>
    <w:p>
      <w:pPr>
        <w:pStyle w:val="TextBody"/>
        <w:bidi w:val="0"/>
        <w:spacing w:before="240" w:after="283"/>
        <w:jc w:val="both"/>
        <w:rPr>
          <w:rFonts w:ascii="Times New Roman" w:hAnsi="Times New Roman"/>
          <w:sz w:val="20"/>
        </w:rPr>
      </w:pPr>
      <w:bookmarkStart w:id="415" w:name="section_4_21_affected_financial_institut"/>
      <w:bookmarkEnd w:id="415"/>
      <w:r>
        <w:rPr>
          <w:rFonts w:ascii="Times New Roman" w:hAnsi="Times New Roman"/>
          <w:color w:val="000000"/>
          <w:sz w:val="22"/>
        </w:rPr>
        <w:t xml:space="preserve">Section 4.21 </w:t>
      </w:r>
      <w:r>
        <w:rPr>
          <w:rFonts w:ascii="Times New Roman" w:hAnsi="Times New Roman"/>
          <w:color w:val="000000"/>
          <w:sz w:val="22"/>
          <w:u w:val="single"/>
        </w:rPr>
        <w:t>Affected Financial Institutions</w:t>
      </w:r>
      <w:r>
        <w:rPr>
          <w:rFonts w:ascii="Times New Roman" w:hAnsi="Times New Roman"/>
          <w:color w:val="000000"/>
          <w:sz w:val="22"/>
        </w:rPr>
        <w:t>. No Loan Party is an Affected Financial Institution.</w:t>
      </w:r>
    </w:p>
    <w:p>
      <w:pPr>
        <w:pStyle w:val="TextBody"/>
        <w:bidi w:val="0"/>
        <w:spacing w:before="240" w:after="283"/>
        <w:jc w:val="both"/>
        <w:rPr>
          <w:rFonts w:ascii="Times New Roman" w:hAnsi="Times New Roman"/>
          <w:sz w:val="20"/>
        </w:rPr>
      </w:pPr>
      <w:bookmarkStart w:id="416" w:name="section_4_22_perfection_of_security_inte"/>
      <w:bookmarkEnd w:id="416"/>
      <w:r>
        <w:rPr>
          <w:rFonts w:ascii="Times New Roman" w:hAnsi="Times New Roman"/>
          <w:color w:val="000000"/>
          <w:sz w:val="22"/>
        </w:rPr>
        <w:t xml:space="preserve">Section 4.22 </w:t>
      </w:r>
      <w:r>
        <w:rPr>
          <w:rFonts w:ascii="Times New Roman" w:hAnsi="Times New Roman"/>
          <w:color w:val="000000"/>
          <w:sz w:val="22"/>
          <w:u w:val="single"/>
        </w:rPr>
        <w:t>Perfection of Security Interests in the Collateral</w:t>
      </w:r>
      <w:r>
        <w:rPr>
          <w:rFonts w:ascii="Times New Roman" w:hAnsi="Times New Roman"/>
          <w:color w:val="000000"/>
          <w:sz w:val="22"/>
        </w:rPr>
        <w:t>. The Collateral Documents create valid security interests in, and Liens on, the property described in and subject to the lien-granting provisions of the Collateral Documents, which security interests and Liens are currently perfected security interests and Liens, prior to all other Liens other than Liens permitted under this Agreement, to the extent required by such Collateral Documents.</w:t>
      </w:r>
    </w:p>
    <w:p>
      <w:pPr>
        <w:pStyle w:val="TextBody"/>
        <w:bidi w:val="0"/>
        <w:spacing w:before="240" w:after="283"/>
        <w:jc w:val="both"/>
        <w:rPr>
          <w:rFonts w:ascii="Times New Roman" w:hAnsi="Times New Roman"/>
          <w:sz w:val="20"/>
        </w:rPr>
      </w:pPr>
      <w:bookmarkStart w:id="417" w:name="section_4_23_outbound_investment_rules__"/>
      <w:bookmarkEnd w:id="417"/>
      <w:r>
        <w:rPr>
          <w:rFonts w:ascii="Times New Roman" w:hAnsi="Times New Roman"/>
          <w:color w:val="000000"/>
          <w:sz w:val="22"/>
        </w:rPr>
        <w:t xml:space="preserve">Section 4.23 </w:t>
      </w:r>
      <w:r>
        <w:rPr>
          <w:rFonts w:ascii="Times New Roman" w:hAnsi="Times New Roman"/>
          <w:color w:val="000000"/>
          <w:sz w:val="22"/>
          <w:u w:val="single"/>
        </w:rPr>
        <w:t>Outbound Investment Rules</w:t>
      </w:r>
      <w:r>
        <w:rPr>
          <w:rFonts w:ascii="Times New Roman" w:hAnsi="Times New Roman"/>
          <w:color w:val="000000"/>
          <w:sz w:val="22"/>
        </w:rPr>
        <w:t>. Neither Holdings nor any of its Subsidiaries is a “covered foreign person” as that term is used in the Outbound Investment Rules. Neither Holdings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Holdings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418" w:name="article_v___affirmative_covenants"/>
      <w:bookmarkEnd w:id="418"/>
      <w:r>
        <w:rPr>
          <w:rFonts w:ascii="Times New Roman" w:hAnsi="Times New Roman"/>
          <w:color w:val="000000"/>
          <w:sz w:val="22"/>
        </w:rPr>
        <w:t>ARTICLE V</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AFFIRMATIVE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covenants and agrees that so long as any Lender has a Commitment hereunder, any Obligation remains unpaid or outstanding (other than contingent indemnification obligations as to which no claim has been made by the Person entitled thereto), or any Letter of Credit shall remain outstanding, such Loan Party shall and shall cause each Subsidiary to:</w:t>
      </w:r>
    </w:p>
    <w:p>
      <w:pPr>
        <w:pStyle w:val="TextBody"/>
        <w:bidi w:val="0"/>
        <w:spacing w:before="240" w:after="283"/>
        <w:jc w:val="both"/>
        <w:rPr>
          <w:rFonts w:ascii="Times New Roman" w:hAnsi="Times New Roman"/>
          <w:sz w:val="20"/>
        </w:rPr>
      </w:pPr>
      <w:bookmarkStart w:id="419" w:name="section_5_1_financial_statements_and_oth"/>
      <w:bookmarkEnd w:id="419"/>
      <w:r>
        <w:rPr>
          <w:rFonts w:ascii="Times New Roman" w:hAnsi="Times New Roman"/>
          <w:color w:val="000000"/>
          <w:sz w:val="22"/>
        </w:rPr>
        <w:t xml:space="preserve">Section 5.1 </w:t>
      </w:r>
      <w:r>
        <w:rPr>
          <w:rFonts w:ascii="Times New Roman" w:hAnsi="Times New Roman"/>
          <w:color w:val="000000"/>
          <w:sz w:val="22"/>
          <w:u w:val="single"/>
        </w:rPr>
        <w:t>Financial Statements and Other Information</w:t>
      </w:r>
      <w:r>
        <w:rPr>
          <w:rFonts w:ascii="Times New Roman" w:hAnsi="Times New Roman"/>
          <w:color w:val="000000"/>
          <w:sz w:val="22"/>
        </w:rPr>
        <w:t>. Deliver to the Administrative Agent and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90 days after the end of each Fiscal Year of Holdings (commencing with the Fiscal Year ending December 31, 2026), a copy of the annual audited report for such Fiscal Year for Holdings and its Subsidiaries, containing a consolidated balance sheet of Holdings and its Subsidiaries as of the end of such Fiscal Year and the related consolidated statements of income or operations, changes in stockholders’ equity and cash flows (together with all footnotes thereto) of Holdings and its Subsidiaries for such Fiscal Year, setting forth in each case in comparative form the figures for the previous Fiscal Year, all in reasonable detail and reported on by independent public accountants of nationally recognized standing or otherwise reasonably acceptable to the Administrative Agent (it being agreed that Deloitte is acceptable to the Administrative Agent) (without a “going concern” or like qualification, exception or explanation and without any qualification or exception as to scope of such audit, except to the extent any qualification results solely from a current maturity of the Loans occurring within one (1) year from the time such opinion is delivered) to the effect that such financial statements present fairly in all material respects the financial condition and the results of operations of Holdings and its Subsidiaries for such Fiscal Year on a consolidated basis in accordance with GAAP and that the examination by such accountants in connection with such consolidated financial statements has been made in accordance with generally accepted auditing standards accompanied by a copy of management’s discussion and analysis with respect to such annual financial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45 days after the end of each of the first three Fiscal Quarters of Holdings (commencing with the Fiscal Quarter ending March 31, 2026), an unaudited consolidated balance sheet of Holdings and its Subsidiaries as of the end of such Fiscal Quarter and the related unaudited consolidated statements of income or operations, and cash flows of Holdings and its Subsidiaries for such Fiscal Quarter and the then elapsed portion of such Fiscal Year, setting forth in each case in comparative form the figures for the corresponding Fiscal Quarter and the corresponding portion of Holdings’ previous Fiscal Year, all in reasonable detail and prepared in accordance with GAAP, such consolidated financial statements to be certified by the chief executive officer, chief financial officer, treasurer or controller of the Borrower as presenting fairly, in all material respects, the financial condition, results of operations, and cash flows of Holdings and its Subsidiaries in accordance with GAAP, subject only to normal year-end audit adjustments and the absence of footnotes accompanied by a copy of management’s discussion and analysis with respect to such quarterly financial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concurrently with the delivery of the financial statements referred to in </w:t>
      </w:r>
      <w:r>
        <w:rPr>
          <w:rFonts w:ascii="Times New Roman" w:hAnsi="Times New Roman"/>
          <w:color w:val="000000"/>
          <w:sz w:val="22"/>
          <w:u w:val="single"/>
        </w:rPr>
        <w:t>Sections</w:t>
      </w:r>
      <w:r>
        <w:rPr>
          <w:color w:val="000000"/>
        </w:rPr>
        <w:t xml:space="preserve"> </w:t>
      </w:r>
      <w:r>
        <w:rPr>
          <w:rFonts w:ascii="Times New Roman" w:hAnsi="Times New Roman"/>
          <w:color w:val="000000"/>
          <w:sz w:val="22"/>
          <w:u w:val="single"/>
        </w:rPr>
        <w:t>5.1(a)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5.1(b)</w:t>
      </w:r>
      <w:r>
        <w:rPr>
          <w:rFonts w:ascii="Times New Roman" w:hAnsi="Times New Roman"/>
          <w:color w:val="000000"/>
          <w:sz w:val="22"/>
        </w:rPr>
        <w:t xml:space="preserve">, a Compliance Certificate signed by a Responsible Officer of the Borrower (i) certifying as to whether there exists a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(or, solely in the case of the Compliance Certificate delivered concurrently with financial statements referred to in </w:t>
      </w:r>
      <w:r>
        <w:rPr>
          <w:rFonts w:ascii="Times New Roman" w:hAnsi="Times New Roman"/>
          <w:color w:val="000000"/>
          <w:sz w:val="22"/>
          <w:u w:val="single"/>
        </w:rPr>
        <w:t>Section 5.1(b)</w:t>
      </w:r>
      <w:r>
        <w:rPr>
          <w:color w:val="000000"/>
        </w:rPr>
        <w:t xml:space="preserve"> </w:t>
      </w:r>
      <w:r>
        <w:rPr>
          <w:rFonts w:ascii="Times New Roman" w:hAnsi="Times New Roman"/>
          <w:color w:val="000000"/>
          <w:sz w:val="22"/>
        </w:rPr>
        <w:t>with respect to the Fiscal Quarter ended March 31, 2026, setting forth in reasonable detail calculations of the Consolidated Total Net Leverage Ratio and the Consolidated Fixed Charge Coverage Ratio, in each case, as of the end of such Fiscal Quarter), (iii) stating whether any change in GAAP or the application thereof has occurred since the date of the Audited Financial Statements, and if any change has occurred, specifying the effect of such change on the financial statements accompanying such Compliance Certificate and (iv) specifying any change in the identity of the Subsidiaries as of the end of such Fiscal Year or Fiscal Quarter from the Subsidiaries identified to the Lenders on the Closing Date or as of the most recent Fiscal Year or Fiscal Quarter, as the case may be;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60 days after the end of each Fiscal Year of Holdings (beginning with the Fiscal Year ending December 31, 2026), a budget for the Fiscal Year then in progress, containing an income statement, balance sheet and statement of cash flow of Holdings and its Subsidiaries on a quarterly basis for such Fiscal Year;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same become publicly available, copies of all periodic and other reports, proxy statements and other materials filed with the SEC, or with any national securities exchange, or distributed by Holdings or the Borrower to their respective shareholders generally, as the case may be;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following any request therefor, (i) such other information regarding the results of operations, business affairs and financial condition of Holdings or any Subsidiary as the Administrative Agent or any Lender may reasonably request and (ii) information and documentation reasonably requested by the Administrative Agent or any Lender for purposes of compliance with applicable “know your customer” requirements under the PATRIOT Act or other applicable anti-money laundering laws.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Documents required to be delivered pursuant to Section 5.1(a), (b) or (e) (to the extent any such documents are included in materials otherwise filed with the SEC) may be delivered electronically and, if so delivered, shall be deemed to have been delivered on the date (x) on which such materials are publicly available as posted on the Electronic Data Gathering, Analysis and Retrieval system (“</w:t>
      </w:r>
      <w:r>
        <w:rPr>
          <w:rFonts w:ascii="Times New Roman" w:hAnsi="Times New Roman"/>
          <w:color w:val="000000"/>
          <w:sz w:val="22"/>
          <w:u w:val="single"/>
        </w:rPr>
        <w:t>EDGAR</w:t>
      </w:r>
      <w:r>
        <w:rPr>
          <w:rFonts w:ascii="Times New Roman" w:hAnsi="Times New Roman"/>
          <w:color w:val="000000"/>
          <w:sz w:val="20"/>
        </w:rPr>
        <w:t>”</w:t>
      </w:r>
      <w:r>
        <w:rPr>
          <w:rFonts w:ascii="Times New Roman" w:hAnsi="Times New Roman"/>
          <w:color w:val="000000"/>
          <w:sz w:val="22"/>
        </w:rPr>
        <w:t xml:space="preserve">); or (y) on which such documents are posted on the Borrower’s behalf on an Internet or intranet website, if any, to which each Lender and the Administrative Agent have access (whether a commercial, third-party website or whether made available by the Administrative Agent). Notwithstanding the foregoing, the financial reporting obligations in this </w:t>
      </w:r>
      <w:r>
        <w:rPr>
          <w:rFonts w:ascii="Times New Roman" w:hAnsi="Times New Roman"/>
          <w:color w:val="000000"/>
          <w:sz w:val="22"/>
          <w:u w:val="single"/>
        </w:rPr>
        <w:t>Section 5.1</w:t>
      </w:r>
      <w:r>
        <w:rPr>
          <w:rFonts w:ascii="Times New Roman" w:hAnsi="Times New Roman"/>
          <w:color w:val="000000"/>
          <w:sz w:val="20"/>
        </w:rPr>
        <w:t xml:space="preserve"> </w:t>
      </w:r>
      <w:r>
        <w:rPr>
          <w:rFonts w:ascii="Times New Roman" w:hAnsi="Times New Roman"/>
          <w:color w:val="000000"/>
          <w:sz w:val="22"/>
        </w:rPr>
        <w:t>may be satisfied by delivery of consolidated financial statements of Parent or any other direct or indirect parent of Holdings together with a reconciliation that shows differences between such parent and its Subsidiaries on a consolidated basis compared to Holdings and its Subsidiaries on a consolidated basis (it being understood that any such reconciliation shall not be required to be audited).</w:t>
      </w:r>
    </w:p>
    <w:p>
      <w:pPr>
        <w:pStyle w:val="TextBody"/>
        <w:bidi w:val="0"/>
        <w:spacing w:before="240" w:after="283"/>
        <w:jc w:val="both"/>
        <w:rPr>
          <w:rFonts w:ascii="Times New Roman" w:hAnsi="Times New Roman"/>
          <w:sz w:val="20"/>
        </w:rPr>
      </w:pPr>
      <w:r>
        <w:rPr>
          <w:rFonts w:ascii="Times New Roman" w:hAnsi="Times New Roman"/>
          <w:color w:val="000000"/>
          <w:sz w:val="22"/>
        </w:rPr>
        <w:t>The Borrower hereby acknowledges that (a) the Administrative Agent and/or the Arrangers will make available to the Lenders and each Issuing Bank materials and/or information provided by or on behalf of the Borrower hereunder (collectively, “</w:t>
      </w:r>
      <w:r>
        <w:rPr>
          <w:rFonts w:ascii="Times New Roman" w:hAnsi="Times New Roman"/>
          <w:color w:val="000000"/>
          <w:sz w:val="22"/>
          <w:u w:val="single"/>
        </w:rPr>
        <w:t>Borrower Materials</w:t>
      </w:r>
      <w:r>
        <w:rPr>
          <w:rFonts w:ascii="Times New Roman" w:hAnsi="Times New Roman"/>
          <w:color w:val="000000"/>
          <w:sz w:val="20"/>
        </w:rPr>
        <w:t>”</w:t>
      </w:r>
      <w:r>
        <w:rPr>
          <w:rFonts w:ascii="Times New Roman" w:hAnsi="Times New Roman"/>
          <w:color w:val="000000"/>
          <w:sz w:val="22"/>
        </w:rPr>
        <w:t xml:space="preserve">) by posting the Borrower Materials on the </w:t>
      </w:r>
      <w:r>
        <w:rPr>
          <w:rFonts w:ascii="Times New Roman" w:hAnsi="Times New Roman"/>
          <w:color w:val="000000"/>
          <w:sz w:val="22"/>
          <w:u w:val="single"/>
        </w:rPr>
        <w:t>Platform</w:t>
      </w:r>
      <w:r>
        <w:rPr>
          <w:rFonts w:ascii="Times New Roman" w:hAnsi="Times New Roman"/>
          <w:color w:val="000000"/>
          <w:sz w:val="20"/>
        </w:rPr>
        <w:t xml:space="preserve"> </w:t>
      </w:r>
      <w:r>
        <w:rPr>
          <w:rFonts w:ascii="Times New Roman" w:hAnsi="Times New Roman"/>
          <w:color w:val="000000"/>
          <w:sz w:val="22"/>
        </w:rPr>
        <w:t>and (b) certain of the Lenders (each, a “</w:t>
      </w:r>
      <w:r>
        <w:rPr>
          <w:rFonts w:ascii="Times New Roman" w:hAnsi="Times New Roman"/>
          <w:color w:val="000000"/>
          <w:sz w:val="22"/>
          <w:u w:val="single"/>
        </w:rPr>
        <w:t>Public Lender</w:t>
      </w:r>
      <w:r>
        <w:rPr>
          <w:rFonts w:ascii="Times New Roman" w:hAnsi="Times New Roman"/>
          <w:color w:val="000000"/>
          <w:sz w:val="20"/>
        </w:rPr>
        <w:t>”</w:t>
      </w:r>
      <w:r>
        <w:rPr>
          <w:rFonts w:ascii="Times New Roman" w:hAnsi="Times New Roman"/>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thereof; (x) by marking Borrower Materials “PUBLIC”, the Borrower shall be deemed to have authorized the Administrative Agent, any Affiliate thereof, the Arrangers, the Issuing Bank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to the extent such Borrower Materials constitute confidential information, they shall be treated as set forth in </w:t>
      </w:r>
      <w:r>
        <w:rPr>
          <w:rFonts w:ascii="Times New Roman" w:hAnsi="Times New Roman"/>
          <w:color w:val="000000"/>
          <w:sz w:val="22"/>
          <w:u w:val="single"/>
        </w:rPr>
        <w:t>Section 11.11</w:t>
      </w:r>
      <w:r>
        <w:rPr>
          <w:rFonts w:ascii="Times New Roman" w:hAnsi="Times New Roman"/>
          <w:color w:val="000000"/>
          <w:sz w:val="22"/>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pStyle w:val="TextBody"/>
        <w:bidi w:val="0"/>
        <w:spacing w:before="240" w:after="283"/>
        <w:jc w:val="both"/>
        <w:rPr>
          <w:rFonts w:ascii="Times New Roman" w:hAnsi="Times New Roman"/>
          <w:sz w:val="20"/>
        </w:rPr>
      </w:pPr>
      <w:bookmarkStart w:id="420" w:name="section_5_2_notices_of_material_events__"/>
      <w:bookmarkEnd w:id="420"/>
      <w:r>
        <w:rPr>
          <w:rFonts w:ascii="Times New Roman" w:hAnsi="Times New Roman"/>
          <w:color w:val="000000"/>
          <w:sz w:val="22"/>
        </w:rPr>
        <w:t xml:space="preserve">Section 5.2 </w:t>
      </w:r>
      <w:r>
        <w:rPr>
          <w:rFonts w:ascii="Times New Roman" w:hAnsi="Times New Roman"/>
          <w:color w:val="000000"/>
          <w:sz w:val="22"/>
          <w:u w:val="single"/>
        </w:rPr>
        <w:t>Notices of Material Events</w:t>
      </w:r>
      <w:r>
        <w:rPr>
          <w:rFonts w:ascii="Times New Roman" w:hAnsi="Times New Roman"/>
          <w:color w:val="000000"/>
          <w:sz w:val="22"/>
        </w:rPr>
        <w:t>. Furnish to the Administrative Agent and each Lender prompt written notice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one (1) Business Day after a Responsible Officer obtains knowledge of the occurrence thereof, the occurrence of any Default or Event of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five (5) Business Days after a Responsible Officer obtains knowledge of the occurrence thereof, the filing or commencement of, or any material development in, any action, suit or proceeding by or before any arbitrator or Governmental Authority against or, to the knowledge of the Borrower, affecting any Loan Party or any Subsidiary which could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ten (10) Business Days after a Responsible Officer obtains knowledge of the occurrence thereof, the occurrence of any event or any other development by which Holdings, the Borrower or any of their respective Subsidiaries (i) fails to comply with any Environmental Law or to obtain, maintain or comply with any permit, license or other approval required under any Environmental Law, (ii) becomes subject to any Environmental Liability, (iii) receives notice of any claim with respect to any Environmental Liability, or (iv) becomes aware of any basis for any Environmental Liability and in each of the preceding clauses, which individually or in the aggregate, could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five (5) Business Days after (A) a Responsible Officer of Holdings, the Borrower or any of their respective Subsidiaries becomes aware that any ERISA Event has occurred, a certificate of the chief financial officer of the Borrower describing such ERISA Event and the action, if any, proposed to be taken with respect to such ERISA Event and a copy of any notice filed with the PBGC or the IRS pertaining to such ERISA Event and any notices received by Holdings, the Borrower, such Subsidiary of Holdings or such ERISA Affiliate from the PBGC or any other governmental agency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Holdings, the Borrower, any of their respective Subsidiaries or any ERISA Affiliate, or (4) of the adoption of any amendment to a Plan subject to Section 412 of the Code which results in a material increase in contribution obligations of Holdings, the Borrower, any of their respective Subsidiaries or any ERISA Affiliate, a detailed written description thereof from the chief financial officer of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five (5) Business Days after a Responsible Officer obtains knowledge of the occurrence thereof, the occurrence of any default or event of default, or the receipt by Holdings or any of its Subsidiaries of any written notice of an alleged default or event of default, with respect to any Material Indebtedness of Holdings or any of its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five (5) Business Days after a Responsible Officer obtains knowledge of the occurrence thereof, any other development that results in, or could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fifteen (15) Business Days after a Responsible Officer obtains knowledge of the occurrence thereof, any change in the information provided in the Beneficial Ownership Certification that would result in a change to the list of beneficial owners identified in parts (c) or (d) of such certification;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twenty (20) calendar days of the occurrence thereof (or such later date as the Administrative Agent may agree in its sole discretion), notice of any change (i) in any Loan Party’s legal name, (ii) in any Loan Party’s chief executive office, its principal place of business, any office in which it maintains books or records or any office or facility at which Collateral owned by it is located (including the establishment of any such new office or facility), (iii) in any Loan Party’s identity or legal structure, (iv) in any Loan Party’s U.S. federal taxpayer identification number or organizational number or (v) in any Loan Party’s jurisdiction of organization.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21" w:name="each_notice_delivered_under_this_section"/>
      <w:bookmarkEnd w:id="421"/>
      <w:r>
        <w:rPr>
          <w:rFonts w:ascii="Times New Roman" w:hAnsi="Times New Roman"/>
          <w:color w:val="000000"/>
          <w:sz w:val="22"/>
        </w:rPr>
        <w:t xml:space="preserve">Each notice delivered under this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shall be accompanied by a written statement of a Responsible Officer setting forth the details of the event or development requiring such notice and any action taken or proposed to be taken with respect thereto.</w:t>
      </w:r>
    </w:p>
    <w:p>
      <w:pPr>
        <w:pStyle w:val="TextBody"/>
        <w:bidi w:val="0"/>
        <w:spacing w:before="240" w:after="283"/>
        <w:jc w:val="both"/>
        <w:rPr>
          <w:rFonts w:ascii="Times New Roman" w:hAnsi="Times New Roman"/>
          <w:sz w:val="20"/>
        </w:rPr>
      </w:pPr>
      <w:bookmarkStart w:id="422" w:name="section_5_3_existence__conduct_of_busine"/>
      <w:bookmarkEnd w:id="422"/>
      <w:r>
        <w:rPr>
          <w:rFonts w:ascii="Times New Roman" w:hAnsi="Times New Roman"/>
          <w:color w:val="000000"/>
          <w:sz w:val="22"/>
        </w:rPr>
        <w:t xml:space="preserve">Section 5.3 </w:t>
      </w:r>
      <w:r>
        <w:rPr>
          <w:rFonts w:ascii="Times New Roman" w:hAnsi="Times New Roman"/>
          <w:color w:val="000000"/>
          <w:sz w:val="22"/>
          <w:u w:val="single"/>
        </w:rPr>
        <w:t>Existence; Conduct of Business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Do or cause to be done all things necessary to preserve, renew and maintain in full force and effect its legal existence and, to the extent that failure to do so would not reasonably be expected to result in a Material Adverse Effect, its respective rights, licenses, permits, privileges, franchises, patents, copyrights, trademarks and trade names material to the conduct of its business; </w:t>
      </w:r>
      <w:r>
        <w:rPr>
          <w:rFonts w:ascii="Times New Roman" w:hAnsi="Times New Roman"/>
          <w:color w:val="000000"/>
          <w:sz w:val="22"/>
          <w:u w:val="single"/>
        </w:rPr>
        <w:t>provided</w:t>
      </w:r>
      <w:r>
        <w:rPr>
          <w:rFonts w:ascii="Times New Roman" w:hAnsi="Times New Roman"/>
          <w:color w:val="000000"/>
          <w:sz w:val="22"/>
        </w:rPr>
        <w:t xml:space="preserve">, that nothing in this </w:t>
      </w:r>
      <w:r>
        <w:rPr>
          <w:rFonts w:ascii="Times New Roman" w:hAnsi="Times New Roman"/>
          <w:color w:val="000000"/>
          <w:sz w:val="22"/>
          <w:u w:val="single"/>
        </w:rPr>
        <w:t>Section 5.3</w:t>
      </w:r>
      <w:r>
        <w:rPr>
          <w:color w:val="000000"/>
        </w:rPr>
        <w:t xml:space="preserve"> </w:t>
      </w:r>
      <w:r>
        <w:rPr>
          <w:rFonts w:ascii="Times New Roman" w:hAnsi="Times New Roman"/>
          <w:color w:val="000000"/>
          <w:sz w:val="22"/>
        </w:rPr>
        <w:t xml:space="preserve">shall prohibit any merger, consolidation, liquidation or dissolution permitted under </w:t>
      </w:r>
      <w:r>
        <w:rPr>
          <w:rFonts w:ascii="Times New Roman" w:hAnsi="Times New Roman"/>
          <w:color w:val="000000"/>
          <w:sz w:val="22"/>
          <w:u w:val="single"/>
        </w:rPr>
        <w:t>Section 7.3</w:t>
      </w:r>
      <w:r>
        <w:rPr>
          <w:rFonts w:ascii="Times New Roman" w:hAnsi="Times New Roman"/>
          <w:color w:val="000000"/>
          <w:sz w:val="22"/>
        </w:rPr>
        <w: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Engage in the business of the type conducted by Holdings and its Subsidiaries on the date hereof and businesses reasonably related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23" w:name="section_5_4_compliance_with_laws__etc___"/>
      <w:bookmarkEnd w:id="423"/>
      <w:r>
        <w:rPr>
          <w:rFonts w:ascii="Times New Roman" w:hAnsi="Times New Roman"/>
          <w:color w:val="000000"/>
          <w:sz w:val="22"/>
        </w:rPr>
        <w:t xml:space="preserve">Section 5.4 </w:t>
      </w:r>
      <w:r>
        <w:rPr>
          <w:rFonts w:ascii="Times New Roman" w:hAnsi="Times New Roman"/>
          <w:color w:val="000000"/>
          <w:sz w:val="22"/>
          <w:u w:val="single"/>
        </w:rPr>
        <w:t>Compliance with Laws, Etc.</w:t>
      </w:r>
      <w:r>
        <w:rPr>
          <w:rFonts w:ascii="Times New Roman" w:hAnsi="Times New Roman"/>
          <w:color w:val="000000"/>
          <w:sz w:val="20"/>
        </w:rPr>
        <w:t xml:space="preserve"> </w:t>
      </w:r>
      <w:r>
        <w:rPr>
          <w:rFonts w:ascii="Times New Roman" w:hAnsi="Times New Roman"/>
          <w:color w:val="000000"/>
          <w:sz w:val="22"/>
        </w:rPr>
        <w:t>Comply with all Laws applicable to its business and properties, including without limitation, all Environmental Laws, ERISA, FDA Law and Regulations, Healthcare Laws, and OSHA, except where the failure to do so, either individually or in the aggregate, could not reasonably be expected to result in a Material Adverse Effect.</w:t>
      </w:r>
    </w:p>
    <w:p>
      <w:pPr>
        <w:pStyle w:val="TextBody"/>
        <w:bidi w:val="0"/>
        <w:spacing w:before="240" w:after="283"/>
        <w:jc w:val="both"/>
        <w:rPr>
          <w:rFonts w:ascii="Times New Roman" w:hAnsi="Times New Roman"/>
          <w:sz w:val="20"/>
        </w:rPr>
      </w:pPr>
      <w:bookmarkStart w:id="424" w:name="section_5_5_payment_of_obligations___pay"/>
      <w:bookmarkEnd w:id="424"/>
      <w:r>
        <w:rPr>
          <w:rFonts w:ascii="Times New Roman" w:hAnsi="Times New Roman"/>
          <w:color w:val="000000"/>
          <w:sz w:val="22"/>
        </w:rPr>
        <w:t xml:space="preserve">Section 5.5 </w:t>
      </w:r>
      <w:r>
        <w:rPr>
          <w:rFonts w:ascii="Times New Roman" w:hAnsi="Times New Roman"/>
          <w:color w:val="000000"/>
          <w:sz w:val="22"/>
          <w:u w:val="single"/>
        </w:rPr>
        <w:t>Payment of Obligations.</w:t>
      </w:r>
      <w:r>
        <w:rPr>
          <w:rFonts w:ascii="Times New Roman" w:hAnsi="Times New Roman"/>
          <w:color w:val="000000"/>
          <w:sz w:val="20"/>
        </w:rPr>
        <w:t xml:space="preserve"> </w:t>
      </w:r>
      <w:r>
        <w:rPr>
          <w:rFonts w:ascii="Times New Roman" w:hAnsi="Times New Roman"/>
          <w:color w:val="000000"/>
          <w:sz w:val="22"/>
        </w:rPr>
        <w:t>Pay, discharge or otherwise satisfy all of their obligations and liabilities (including, without limitation, all taxes, assessments and other governmental charges, levies and all other claims that could result in a statutory Lien for taxes) as the same become due and payable, except where (a) the same are being contested in good faith by appropriate proceedings and (b) adequate reserves are being maintained in accordance with GAAP except to the extent that the failure to do so could not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25" w:name="section_5_6_books_and_records___keep_pro"/>
      <w:bookmarkEnd w:id="425"/>
      <w:r>
        <w:rPr>
          <w:rFonts w:ascii="Times New Roman" w:hAnsi="Times New Roman"/>
          <w:color w:val="000000"/>
          <w:sz w:val="22"/>
        </w:rPr>
        <w:t xml:space="preserve">Section 5.6 </w:t>
      </w:r>
      <w:r>
        <w:rPr>
          <w:rFonts w:ascii="Times New Roman" w:hAnsi="Times New Roman"/>
          <w:color w:val="000000"/>
          <w:sz w:val="22"/>
          <w:u w:val="single"/>
        </w:rPr>
        <w:t>Books and Records</w:t>
      </w:r>
      <w:r>
        <w:rPr>
          <w:rFonts w:ascii="Times New Roman" w:hAnsi="Times New Roman"/>
          <w:color w:val="000000"/>
          <w:sz w:val="22"/>
        </w:rPr>
        <w:t>. Keep proper books of record and account in which full, true and correct entries shall be made of all dealings and transactions in relation to its business and activities to the extent necessary to prepare the consolidated financial statements of Holdings and its Subsidiaries in conformity with GAAP.</w:t>
      </w:r>
    </w:p>
    <w:p>
      <w:pPr>
        <w:pStyle w:val="TextBody"/>
        <w:bidi w:val="0"/>
        <w:spacing w:before="240" w:after="283"/>
        <w:jc w:val="both"/>
        <w:rPr>
          <w:rFonts w:ascii="Times New Roman" w:hAnsi="Times New Roman"/>
          <w:sz w:val="20"/>
        </w:rPr>
      </w:pPr>
      <w:bookmarkStart w:id="426" w:name="section_5_7_visitation__inspection__etc_"/>
      <w:bookmarkEnd w:id="426"/>
      <w:r>
        <w:rPr>
          <w:rFonts w:ascii="Times New Roman" w:hAnsi="Times New Roman"/>
          <w:color w:val="000000"/>
          <w:sz w:val="22"/>
        </w:rPr>
        <w:t xml:space="preserve">Section 5.7 </w:t>
      </w:r>
      <w:r>
        <w:rPr>
          <w:rFonts w:ascii="Times New Roman" w:hAnsi="Times New Roman"/>
          <w:color w:val="000000"/>
          <w:sz w:val="22"/>
          <w:u w:val="single"/>
        </w:rPr>
        <w:t>Visitation, Inspection, Etc.</w:t>
      </w:r>
      <w:r>
        <w:rPr>
          <w:rFonts w:ascii="Times New Roman" w:hAnsi="Times New Roman"/>
          <w:color w:val="000000"/>
          <w:sz w:val="20"/>
        </w:rPr>
        <w:t xml:space="preserve"> </w:t>
      </w:r>
      <w:r>
        <w:rPr>
          <w:rFonts w:ascii="Times New Roman" w:hAnsi="Times New Roman"/>
          <w:color w:val="000000"/>
          <w:sz w:val="22"/>
        </w:rPr>
        <w:t xml:space="preserve">Permit any representative of the Administrative Agent (which may be accompanied by representatives of any of the Lenders), to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Administrative Agent or any Lender may reasonably request after reasonable prior notice to the Borrower; </w:t>
      </w:r>
      <w:r>
        <w:rPr>
          <w:rFonts w:ascii="Times New Roman" w:hAnsi="Times New Roman"/>
          <w:color w:val="000000"/>
          <w:sz w:val="22"/>
          <w:u w:val="single"/>
        </w:rPr>
        <w:t>provided</w:t>
      </w:r>
      <w:r>
        <w:rPr>
          <w:rFonts w:ascii="Times New Roman" w:hAnsi="Times New Roman"/>
          <w:color w:val="000000"/>
          <w:sz w:val="22"/>
        </w:rPr>
        <w:t>, that the Administrative Agent shall not exercise such rights more often than one time during any Fiscal Year at the expense of the Borrower unless an Event of Default has occurred and is continuing, in which case the Administrative Agent may do the foregoing at the expense of the Borrower at any time during normal business hours.</w:t>
      </w:r>
    </w:p>
    <w:p>
      <w:pPr>
        <w:pStyle w:val="TextBody"/>
        <w:bidi w:val="0"/>
        <w:spacing w:before="240" w:after="283"/>
        <w:jc w:val="both"/>
        <w:rPr>
          <w:rFonts w:ascii="Times New Roman" w:hAnsi="Times New Roman"/>
          <w:sz w:val="20"/>
        </w:rPr>
      </w:pPr>
      <w:bookmarkStart w:id="427" w:name="section_5_8_maintenance_of_properties__i"/>
      <w:bookmarkEnd w:id="427"/>
      <w:r>
        <w:rPr>
          <w:rFonts w:ascii="Times New Roman" w:hAnsi="Times New Roman"/>
          <w:color w:val="000000"/>
          <w:sz w:val="22"/>
        </w:rPr>
        <w:t xml:space="preserve">Section 5.8 </w:t>
      </w:r>
      <w:r>
        <w:rPr>
          <w:rFonts w:ascii="Times New Roman" w:hAnsi="Times New Roman"/>
          <w:color w:val="000000"/>
          <w:sz w:val="22"/>
          <w:u w:val="single"/>
        </w:rPr>
        <w:t>Maintenance of Properties; Insurance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Keep and maintain all property material to the conduct of its business in good working order and condition, ordinary wear and tear excepted;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Maintain with financially sound and reputable insurance companies not Affiliates of Holdings, insurance with respect to its properties and business, and the properties and business of its Subsidiaries, against loss or damage of the kinds customarily insured against by companies in the same or similar businesses operating in the same or similar locations;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At all times shall name Administrative Agent as additional insured on all liability policies and loss payee on all property or casualty polices of the Loan Parties and their Subsidiaries (which policies shall be endorsed or otherwise amended to (i) obligate the insurer to provide </w:t>
      </w:r>
      <w:r>
        <w:rPr>
          <w:rFonts w:ascii="Times New Roman" w:hAnsi="Times New Roman"/>
          <w:i/>
          <w:color w:val="000000"/>
          <w:sz w:val="22"/>
        </w:rPr>
        <w:t xml:space="preserve">at least </w:t>
      </w:r>
      <w:r>
        <w:rPr>
          <w:rFonts w:ascii="Times New Roman" w:hAnsi="Times New Roman"/>
          <w:color w:val="000000"/>
          <w:sz w:val="22"/>
        </w:rPr>
        <w:t xml:space="preserve">thirty (30) calendar days prior written notice to the Administrative Agent of any cancellation or alteration of any such policy (or ten (10) calendar days prior written notice, </w:t>
      </w:r>
      <w:r>
        <w:rPr>
          <w:rFonts w:ascii="Times New Roman" w:hAnsi="Times New Roman"/>
          <w:i/>
          <w:color w:val="000000"/>
          <w:sz w:val="22"/>
        </w:rPr>
        <w:t xml:space="preserve">solely </w:t>
      </w:r>
      <w:r>
        <w:rPr>
          <w:rFonts w:ascii="Times New Roman" w:hAnsi="Times New Roman"/>
          <w:color w:val="000000"/>
          <w:sz w:val="22"/>
        </w:rPr>
        <w:t>in the case of cancellation as a result of non-payment of applicable insurance premiums) and (ii) include a customary lender’s loss payable endorsement and to name the Administrative Agent as additional insured or loss payee, in each case, in form and substance reasonably satisfactory to the Administrative Agent);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Cause all Mortgaged Property that constitutes Flood Hazard Property to be covered by flood insurance provided under the National Flood Insurance Program (or with private insurance endorsed to cause such private insurance to be fully compliant with the federal law as regards private placement insurance applicable to the National Flood Insurance Program, with financially sound and reputable insurance companies not Affiliates of the Borrower), in such amounts and with such deductibles as the Administrative Agent may request.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28" w:name="section_5_9_use_of_proceeds_"/>
      <w:bookmarkEnd w:id="428"/>
      <w:r>
        <w:rPr>
          <w:rFonts w:ascii="Times New Roman" w:hAnsi="Times New Roman"/>
          <w:color w:val="000000"/>
          <w:sz w:val="22"/>
        </w:rPr>
        <w:t xml:space="preserve">Section 5.9 </w:t>
      </w:r>
      <w:r>
        <w:rPr>
          <w:rFonts w:ascii="Times New Roman" w:hAnsi="Times New Roman"/>
          <w:color w:val="000000"/>
          <w:sz w:val="22"/>
          <w:u w:val="single"/>
        </w:rPr>
        <w:t>Use of Proceeds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Use the proceeds of all the Revolving Loans, from and after the Closing Date, to finance Permitted Acquisitions, to finance working capital needs and for other general corporate purposes of Holdings and its Subsidiaries (including, without limitation, for any Permitted Acquisition), in each case, not in violation of applicable Law or the terms of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Use the proceeds of the Term Loan A (i) on the Closing Date, to (A) refinance existing Indebtedness, (B) fund cash to the balance sheet of the Borrower, and (C) pay the Transaction Costs, and (ii) thereafter, to finance Permitted Acquisitions, to finance working capital needs and for other general corporate purposes of Holdings and its Subsidiaries, in each case, not in violation of applicable Law or the terms of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Use the proceeds of each Incremental Facility to finance working capital needs and other general corporate purposes of Holdings and its Subsidiaries, including, without limitation, for Permitted Acquisitions, Investments permitted pursuant to </w:t>
      </w:r>
      <w:r>
        <w:rPr>
          <w:rFonts w:ascii="Times New Roman" w:hAnsi="Times New Roman"/>
          <w:color w:val="000000"/>
          <w:sz w:val="22"/>
          <w:u w:val="single"/>
        </w:rPr>
        <w:t>Section 7.4</w:t>
      </w:r>
      <w:r>
        <w:rPr>
          <w:rFonts w:ascii="Times New Roman" w:hAnsi="Times New Roman"/>
          <w:color w:val="000000"/>
          <w:sz w:val="22"/>
        </w:rPr>
        <w:t xml:space="preserve">, Restricted Payments permitted pursuant to </w:t>
      </w:r>
      <w:r>
        <w:rPr>
          <w:rFonts w:ascii="Times New Roman" w:hAnsi="Times New Roman"/>
          <w:color w:val="000000"/>
          <w:sz w:val="22"/>
          <w:u w:val="single"/>
        </w:rPr>
        <w:t>Section 7.5</w:t>
      </w:r>
      <w:r>
        <w:rPr>
          <w:color w:val="000000"/>
        </w:rPr>
        <w:t xml:space="preserve"> </w:t>
      </w:r>
      <w:r>
        <w:rPr>
          <w:rFonts w:ascii="Times New Roman" w:hAnsi="Times New Roman"/>
          <w:color w:val="000000"/>
          <w:sz w:val="22"/>
        </w:rPr>
        <w:t>and other purposes, in each case, not in violation of applicable Law or the terms of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Use all Letters of Credit for general corporate purposes, in each case, not in violation of applicable Law or the terms of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Use the Net Cash Proceeds of any Credit Agreement Refinancing Indebtedness to refinance such Indebtedness in the manner directed by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29" w:name="section_5_10_additional_subsidiaries___i"/>
      <w:bookmarkEnd w:id="429"/>
      <w:r>
        <w:rPr>
          <w:rFonts w:ascii="Times New Roman" w:hAnsi="Times New Roman"/>
          <w:color w:val="000000"/>
          <w:sz w:val="22"/>
        </w:rPr>
        <w:t xml:space="preserve">Section 5.10 </w:t>
      </w:r>
      <w:r>
        <w:rPr>
          <w:rFonts w:ascii="Times New Roman" w:hAnsi="Times New Roman"/>
          <w:color w:val="000000"/>
          <w:sz w:val="22"/>
          <w:u w:val="single"/>
        </w:rPr>
        <w:t>Additional Subsidiaries</w:t>
      </w:r>
      <w:r>
        <w:rPr>
          <w:rFonts w:ascii="Times New Roman" w:hAnsi="Times New Roman"/>
          <w:color w:val="000000"/>
          <w:sz w:val="22"/>
        </w:rPr>
        <w:t xml:space="preserve">. If at any time the Borrower or any Subsidiary of Holdings forms or acquires any Subsidiary (other than an Excluded Subsidiary) after the Closing Date (or any such Subsidiary of Holdings ceases to be an Excluded Subsidiary), promptly following such formation or acquisition, notify the Administrative Agent and the Lenders thereof and, within thirty (30) calendar days after any such Subsidiary is acquired or formed or ceases to be an Excluded Subsidiary (or such later date as the Administrative Agent may agree in its sole discretion), if such Subsidiary is a Domestic Subsidiary, cause such Subsidiary to become a Guarantor by executing and delivering to the Administrative Agent a Guarantor Joinder Agreement in form and substance reasonably satisfactory to the Administrative Agent, accompanied by (a) all other Loan Documents related thereto, (b) certified copies of Organization Documents, appropriate authorizing resolutions of the board of directors of such Subsidiaries, and opinions of counsel comparable to those delivered pursuant to </w:t>
      </w:r>
      <w:r>
        <w:rPr>
          <w:rFonts w:ascii="Times New Roman" w:hAnsi="Times New Roman"/>
          <w:color w:val="000000"/>
          <w:sz w:val="22"/>
          <w:u w:val="single"/>
        </w:rPr>
        <w:t>Section 3.1(c)</w:t>
      </w:r>
      <w:r>
        <w:rPr>
          <w:rFonts w:ascii="Times New Roman" w:hAnsi="Times New Roman"/>
          <w:color w:val="000000"/>
          <w:sz w:val="22"/>
        </w:rPr>
        <w:t>, and (c) such other documents as the Administrative Agent may reasonably request.</w:t>
      </w:r>
    </w:p>
    <w:p>
      <w:pPr>
        <w:pStyle w:val="TextBody"/>
        <w:bidi w:val="0"/>
        <w:spacing w:before="240" w:after="283"/>
        <w:jc w:val="both"/>
        <w:rPr>
          <w:rFonts w:ascii="Times New Roman" w:hAnsi="Times New Roman"/>
          <w:sz w:val="20"/>
        </w:rPr>
      </w:pPr>
      <w:bookmarkStart w:id="430" w:name="section_5_11_further_assurances_"/>
      <w:bookmarkEnd w:id="430"/>
      <w:r>
        <w:rPr>
          <w:rFonts w:ascii="Times New Roman" w:hAnsi="Times New Roman"/>
          <w:color w:val="000000"/>
          <w:sz w:val="22"/>
        </w:rPr>
        <w:t xml:space="preserve">Section 5.11 </w:t>
      </w:r>
      <w:r>
        <w:rPr>
          <w:rFonts w:ascii="Times New Roman" w:hAnsi="Times New Roman"/>
          <w:color w:val="000000"/>
          <w:sz w:val="22"/>
          <w:u w:val="single"/>
        </w:rPr>
        <w:t>Further Assurances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Capital Stock</w:t>
      </w:r>
      <w:r>
        <w:rPr>
          <w:rFonts w:ascii="Times New Roman" w:hAnsi="Times New Roman"/>
          <w:color w:val="000000"/>
          <w:sz w:val="22"/>
        </w:rPr>
        <w:t xml:space="preserve">. Within thirty (30) calendar days after acquiring any Capital Stock, and at all times from the Closing Date with respect to any Capital Stock owned as of the Closing Date, cause (i) 100% of the issued and outstanding Capital Stock of the Borrower and each Domestic Subsidiary of Holdings (other than any Excluded Property) and (ii) 65% of the issued and outstanding Capital Stock entitled to vote (within the meaning of Treas. Reg. Section 1.956-2(c)(2)) and 100% of the issued and outstanding Capital Stock not entitled to vote (within the meaning of Treas. Reg. Section 1.956-2(c)(2)) in each Foreign Subsidiary directly owned by any Loan Party (other than any Excluded Property), in each case, to be subject at all times to a first priority, perfected Lien in favor of the Administrative Agent, for the benefit of the Secured Parties, to secure the Obligations pursuant to the Collateral Documents (subject to Liens permitted by </w:t>
      </w:r>
      <w:r>
        <w:rPr>
          <w:rFonts w:ascii="Times New Roman" w:hAnsi="Times New Roman"/>
          <w:color w:val="000000"/>
          <w:sz w:val="22"/>
          <w:u w:val="single"/>
        </w:rPr>
        <w:t>Section 7.2</w:t>
      </w:r>
      <w:r>
        <w:rPr>
          <w:rFonts w:ascii="Times New Roman" w:hAnsi="Times New Roman"/>
          <w:color w:val="000000"/>
          <w:sz w:val="22"/>
        </w:rPr>
        <w:t>), and, in connection with the foregoing, deliver to the Administrative Agent such other documentation as the Administrative Agent may reasonably request including, any filings and deliveries to perfect such Liens, Organization Documents, resolutions and opinions of counsel all in form, content and scope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Personal Property</w:t>
      </w:r>
      <w:r>
        <w:rPr>
          <w:rFonts w:ascii="Times New Roman" w:hAnsi="Times New Roman"/>
          <w:color w:val="000000"/>
          <w:sz w:val="22"/>
        </w:rPr>
        <w:t xml:space="preserve">. Cause all personal property (other than Excluded Property) owned by each Loan Party to be subject at all times to first priority, perfected Liens in favor of the Administrative Agent, for the benefit of the Secured Parties, to secure the Obligations as required by the Collateral Documents (subject to Liens permitted by </w:t>
      </w:r>
      <w:r>
        <w:rPr>
          <w:rFonts w:ascii="Times New Roman" w:hAnsi="Times New Roman"/>
          <w:color w:val="000000"/>
          <w:sz w:val="22"/>
          <w:u w:val="single"/>
        </w:rPr>
        <w:t>Section 7.2</w:t>
      </w:r>
      <w:r>
        <w:rPr>
          <w:rFonts w:ascii="Times New Roman" w:hAnsi="Times New Roman"/>
          <w:color w:val="000000"/>
          <w:sz w:val="22"/>
        </w:rPr>
        <w:t>) and, in connection with the foregoing, deliver to the Administrative Agent such other documentation as the Administrative Agent may reasonably request including filings and deliveries necessary to perfect such Liens, Organization Documents, resolutions and favorable opinions of counsel to such Person, all in form, content and scope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Control Agreements</w:t>
      </w:r>
      <w:r>
        <w:rPr>
          <w:rFonts w:ascii="Times New Roman" w:hAnsi="Times New Roman"/>
          <w:color w:val="000000"/>
          <w:sz w:val="22"/>
        </w:rPr>
        <w:t xml:space="preserve">. Cause each deposit account, disbursement account, investment account, cash management account, lockbox account or other account (other than Excluded Accounts) to be subject to a “with activation” or “springing” account control agreement in form and substance reasonably satisfactory to the Administrative Agent (it being understood and agreed that the Borrower shall have up to 90 days after the Closing Date (or such later date as the Administrative Agent may agree in its sole discretion) to cause any such accounts existing as of the Closing Date to become subject to such an account control agreement);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such account control agreement shall be required with respect to any account that has a balance (or which holds assets with a fair market value) less than $250,000, in any individual instance, or $500,000, when taken together with the account balances (or aggregate amount of the fair market value of assets) of all other accounts (other than Excluded Accounts) that are not subject to an account control agreement in form and substance reasonably acceptable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Real Property</w:t>
      </w:r>
      <w:r>
        <w:rPr>
          <w:rFonts w:ascii="Times New Roman" w:hAnsi="Times New Roman"/>
          <w:color w:val="000000"/>
          <w:sz w:val="22"/>
        </w:rPr>
        <w:t xml:space="preserve">. Within ninety (90) days (or such later date as the Administrative Agent may agree in its sole discretion) after (i) the Closing Date, with respect to Material Real Property owned as of the Closing Date, and (ii) the date new Material Real Property is acquired by a Loan Party, cause such real property (other than Excluded Property) owned by the applicable Loan Party to be subject at all times to a valid and, subject to any filing and/or recording referred to herein, enforceable Lien on, and security interest in, real property that is prior and superior in right to any other Lien in favor of the Administrative Agent, for the benefit of the Secured Parties, to secure the Obligations as required by the Collateral Documents (subject to Liens permitted by </w:t>
      </w:r>
      <w:r>
        <w:rPr>
          <w:rFonts w:ascii="Times New Roman" w:hAnsi="Times New Roman"/>
          <w:color w:val="000000"/>
          <w:sz w:val="22"/>
          <w:u w:val="single"/>
        </w:rPr>
        <w:t>Section 7.2</w:t>
      </w:r>
      <w:r>
        <w:rPr>
          <w:rFonts w:ascii="Times New Roman" w:hAnsi="Times New Roman"/>
          <w:color w:val="000000"/>
          <w:sz w:val="22"/>
        </w:rPr>
        <w:t xml:space="preserve">) and, in connection with the foregoing, deliver to the Administrative Agent such documentation as the Administrative Agent may reasonably request including filings and deliveries necessary to perfect such Liens, Organization Documents, resolutions, Real Property Security Documents and favorable opinions of counsel to such Person, all in form, content and scope reasonably satisfactory to the Administrative Agent; </w:t>
      </w:r>
      <w:r>
        <w:rPr>
          <w:rFonts w:ascii="Times New Roman" w:hAnsi="Times New Roman"/>
          <w:color w:val="000000"/>
          <w:sz w:val="22"/>
          <w:u w:val="single"/>
        </w:rPr>
        <w:t>provided</w:t>
      </w:r>
      <w:r>
        <w:rPr>
          <w:rFonts w:ascii="Times New Roman" w:hAnsi="Times New Roman"/>
          <w:color w:val="000000"/>
          <w:sz w:val="22"/>
        </w:rPr>
        <w:t xml:space="preserve">, that if at any time any real property is required to be pledged as Collateral hereunder, (1) the Administrative Agent shall provide to the Lenders at least thirty (30) days’ prior written notice to the pledge of such real property as Collateral, (2) the Loan Parties shall provide such documentation as the Lenders shall request that is reasonably necessary for their flood insurance compliance processes, and (3) if a Lender notifies the Administrative Agent before the end of the thirty (30) day period under clause (1) above that such Lender has not completed its flood insurance compliance with respect to such real property, then the Administrative Agent shall not enter into, accept or record any Mortgage in respect of such real property until the Administrative Agent shall have received written confirmation from such Lender that its flood insurance compliance has been completed (it being agreed that the time period for the Loan Parties’ compliance with this </w:t>
      </w:r>
      <w:r>
        <w:rPr>
          <w:rFonts w:ascii="Times New Roman" w:hAnsi="Times New Roman"/>
          <w:color w:val="000000"/>
          <w:sz w:val="22"/>
          <w:u w:val="single"/>
        </w:rPr>
        <w:t>Section 5.11(d)</w:t>
      </w:r>
      <w:r>
        <w:rPr>
          <w:color w:val="000000"/>
        </w:rPr>
        <w:t xml:space="preserve"> </w:t>
      </w:r>
      <w:r>
        <w:rPr>
          <w:rFonts w:ascii="Times New Roman" w:hAnsi="Times New Roman"/>
          <w:color w:val="000000"/>
          <w:sz w:val="22"/>
        </w:rPr>
        <w:t>shall be extended until the Administrative Agent shall have received any necessary confirmations).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Insurance Endorsements</w:t>
      </w:r>
      <w:r>
        <w:rPr>
          <w:rFonts w:ascii="Times New Roman" w:hAnsi="Times New Roman"/>
          <w:color w:val="000000"/>
          <w:sz w:val="22"/>
        </w:rPr>
        <w:t xml:space="preserve">. Deliver to the Administrative Agent endorsements as required by </w:t>
      </w:r>
      <w:r>
        <w:rPr>
          <w:rFonts w:ascii="Times New Roman" w:hAnsi="Times New Roman"/>
          <w:color w:val="000000"/>
          <w:sz w:val="22"/>
          <w:u w:val="single"/>
        </w:rPr>
        <w:t>Section 5.8(c)</w:t>
      </w:r>
      <w:r>
        <w:rPr>
          <w:color w:val="000000"/>
        </w:rPr>
        <w:t xml:space="preserve"> </w:t>
      </w:r>
      <w:r>
        <w:rPr>
          <w:rFonts w:ascii="Times New Roman" w:hAnsi="Times New Roman"/>
          <w:color w:val="000000"/>
          <w:sz w:val="22"/>
        </w:rPr>
        <w:t>within ninety (90) days (or such later date as the Administrative Agent may agree in its sole discretion) of the Closing Date.</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Foreign Jurisdictions</w:t>
      </w:r>
      <w:r>
        <w:rPr>
          <w:rFonts w:ascii="Times New Roman" w:hAnsi="Times New Roman"/>
          <w:color w:val="000000"/>
          <w:sz w:val="22"/>
        </w:rPr>
        <w:t xml:space="preserve">. Notwithstanding anything to the contrary in the foregoing provisions of this </w:t>
      </w:r>
      <w:r>
        <w:rPr>
          <w:rFonts w:ascii="Times New Roman" w:hAnsi="Times New Roman"/>
          <w:color w:val="000000"/>
          <w:sz w:val="22"/>
          <w:u w:val="single"/>
        </w:rPr>
        <w:t>Section 5.11</w:t>
      </w:r>
      <w:r>
        <w:rPr>
          <w:color w:val="000000"/>
        </w:rPr>
        <w:t xml:space="preserve"> </w:t>
      </w:r>
      <w:r>
        <w:rPr>
          <w:rFonts w:ascii="Times New Roman" w:hAnsi="Times New Roman"/>
          <w:color w:val="000000"/>
          <w:sz w:val="22"/>
        </w:rPr>
        <w:t>or the terms of any Loan Document, no actions in any non-U.S. jurisdiction or required by the laws of any non-U.S. jurisdiction shall be required to be taken to create any security interests in assets located or titled outside of the U.S. or to perfect or make enforceable any security interests in any such assets (it being understood that there shall be no security agreements or pledge agreements governed under the laws of any non U.S.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Certain Joinders</w:t>
      </w:r>
      <w:r>
        <w:rPr>
          <w:rFonts w:ascii="Times New Roman" w:hAnsi="Times New Roman"/>
          <w:color w:val="000000"/>
          <w:sz w:val="22"/>
        </w:rPr>
        <w:t xml:space="preserve">. With thirty (30) calendar days after the Closing Date (or such longer period not to exceed an additional sixty (60) calendar days as may be agreed by the Administrative Agent in its sole discretion), cause each of F.H. Investments, 237 Cahaba Valley, and Advanced Formulations Pharmacy to become a Guarantor by executing and delivering to the Administrative Agent, with respect to each such Subsidiary, a Guarantor Joinder Agreement in form and substance reasonably satisfactory to the Administrative Agent, accompanied by (i) all other Loan Documents related thereto, (ii) certified copies of Organization Documents, appropriate authorizing resolutions of the board of directors of such Subsidiaries, and opinions of counsel comparable to those delivered pursuant to </w:t>
      </w:r>
      <w:r>
        <w:rPr>
          <w:rFonts w:ascii="Times New Roman" w:hAnsi="Times New Roman"/>
          <w:color w:val="000000"/>
          <w:sz w:val="22"/>
          <w:u w:val="single"/>
        </w:rPr>
        <w:t>Section 3.1(c)</w:t>
      </w:r>
      <w:r>
        <w:rPr>
          <w:rFonts w:ascii="Times New Roman" w:hAnsi="Times New Roman"/>
          <w:color w:val="000000"/>
          <w:sz w:val="22"/>
        </w:rPr>
        <w:t>, and (iii) such other documents as the Administrative Agent may reasonably request.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Certain Stock Certificates and Stock Powers</w:t>
      </w:r>
      <w:r>
        <w:rPr>
          <w:rFonts w:ascii="Times New Roman" w:hAnsi="Times New Roman"/>
          <w:color w:val="000000"/>
          <w:sz w:val="22"/>
        </w:rPr>
        <w:t>. Deliver to the Administrative Agent, within five (5) Business Days after the Closing Date (or such later date as the Administrative Agent may agree in its sole discretion), the certificates representing 100% of the issued and outstanding Capital Stock in F.H. Investments, accompanied by duly executed instruments of transfer, or assignment in blank, substantially in the form provided in Exhibit 1 to the Security Agreement (or such other form acceptable to the Administrative Agent in its reasonable discretion).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5.12 </w:t>
      </w:r>
      <w:r>
        <w:rPr>
          <w:rFonts w:ascii="Times New Roman" w:hAnsi="Times New Roman"/>
          <w:color w:val="000000"/>
          <w:sz w:val="22"/>
          <w:u w:val="single"/>
        </w:rPr>
        <w:t>Compliance Programs; Data Privacy and Security Policies</w:t>
      </w:r>
      <w:r>
        <w:rPr>
          <w:rFonts w:ascii="Times New Roman" w:hAnsi="Times New Roman"/>
          <w:color w:val="000000"/>
          <w:sz w:val="22"/>
        </w:rPr>
        <w:t>. Holdings shall maintain, for itself, its Subsidiaries and their respective employees, policies and procedures reasonably designed to provide effective internal controls that promote adherence to, prevent, and detect material violations of FDA Law and Regulations, Anti-Corruption Laws and applicable Sanctions. Each of Holdings and its Subsidiaries shall maintain in effect data privacy and security policies that comply in all material respects with Laws applicable to (i) the conduct of its and its Subsidiaries’ business, (ii) the types of Personal Information that Holdings and its Subsidiaries collect from individuals and (iii) the uses and disclosures of such Personal Information by Holdings and its Subsidiaries.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ARTICLE VI</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FINANCIAL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covenants and agrees that so long as any Lender has a Commitment hereunder, any Obligation remains unpaid or outstanding (other than contingent indemnification obligations as to which no claim has been made by the Person entitled thereto), or any Letter of Credit shall remain outstanding, no Loan Party shall, nor shall it permit any Subsidiary to, directly or indirectly: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 </w:t>
      </w:r>
      <w:r>
        <w:rPr>
          <w:rFonts w:ascii="Times New Roman" w:hAnsi="Times New Roman"/>
          <w:color w:val="000000"/>
          <w:sz w:val="22"/>
          <w:u w:val="single"/>
        </w:rPr>
        <w:t>Consolidated Total Net Leverage Ratio</w:t>
      </w:r>
      <w:r>
        <w:rPr>
          <w:rFonts w:ascii="Times New Roman" w:hAnsi="Times New Roman"/>
          <w:color w:val="000000"/>
          <w:sz w:val="22"/>
        </w:rPr>
        <w:t>. Permit the Consolidated Total Net Leverage Ratio as of the end of each Fiscal Quarter, commencing with the Fiscal Quarter ending June 30, 2026, to be greater than (a) with respect to the Fiscal Quarter ending June 30, 2026, through and including the Fiscal Quarter ending September 30, 2027, 3.75 to 1.00, and (b) with respect to the Fiscal Quarter ending December 31, 2027, and for each Fiscal Quarter ending thereafter, 3.25 to 1.00.</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31" w:name="section_6_2_consolidated_fixed_charge_co"/>
      <w:bookmarkEnd w:id="431"/>
      <w:r>
        <w:rPr>
          <w:rFonts w:ascii="Times New Roman" w:hAnsi="Times New Roman"/>
          <w:color w:val="000000"/>
          <w:sz w:val="22"/>
        </w:rPr>
        <w:t xml:space="preserve">Section 6.2 </w:t>
      </w:r>
      <w:r>
        <w:rPr>
          <w:rFonts w:ascii="Times New Roman" w:hAnsi="Times New Roman"/>
          <w:color w:val="000000"/>
          <w:sz w:val="22"/>
          <w:u w:val="single"/>
        </w:rPr>
        <w:t>Consolidated Fixed Charge Coverage Ratio</w:t>
      </w:r>
      <w:r>
        <w:rPr>
          <w:rFonts w:ascii="Times New Roman" w:hAnsi="Times New Roman"/>
          <w:color w:val="000000"/>
          <w:sz w:val="22"/>
        </w:rPr>
        <w:t>. Permit the Consolidated Fixed Charge Coverage Ratio as of the end of each Fiscal Quarter, commencing with the Fiscal Quarter ending June 30, 2026, to be less than 1.25 to 1.00.</w:t>
      </w:r>
    </w:p>
    <w:p>
      <w:pPr>
        <w:pStyle w:val="TextBody"/>
        <w:bidi w:val="0"/>
        <w:spacing w:before="240" w:after="283"/>
        <w:jc w:val="center"/>
        <w:rPr>
          <w:rFonts w:ascii="Times New Roman" w:hAnsi="Times New Roman"/>
          <w:sz w:val="20"/>
        </w:rPr>
      </w:pPr>
      <w:bookmarkStart w:id="432" w:name="article_vii___negative_covenants"/>
      <w:bookmarkEnd w:id="432"/>
      <w:r>
        <w:rPr>
          <w:rFonts w:ascii="Times New Roman" w:hAnsi="Times New Roman"/>
          <w:color w:val="000000"/>
          <w:sz w:val="22"/>
        </w:rPr>
        <w:t>ARTICLE VII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NEGATIVE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covenants and agrees that so long as any Lender has a Commitment hereunder, any Obligation remains unpaid or outstanding (other than contingent indemnification obligations as to which no claim has been made by the Person entitled thereto), or any Letter of Credit shall remain outstanding, no Loan Party shall, nor shall it permit any Subsidiary to, directly or indirectly:</w:t>
      </w:r>
    </w:p>
    <w:p>
      <w:pPr>
        <w:pStyle w:val="TextBody"/>
        <w:bidi w:val="0"/>
        <w:spacing w:before="240" w:after="283"/>
        <w:jc w:val="both"/>
        <w:rPr>
          <w:rFonts w:ascii="Times New Roman" w:hAnsi="Times New Roman"/>
          <w:sz w:val="20"/>
        </w:rPr>
      </w:pPr>
      <w:bookmarkStart w:id="433" w:name="section_7_1_indebtedness_and_disqualifie"/>
      <w:bookmarkEnd w:id="433"/>
      <w:r>
        <w:rPr>
          <w:rFonts w:ascii="Times New Roman" w:hAnsi="Times New Roman"/>
          <w:color w:val="000000"/>
          <w:sz w:val="22"/>
        </w:rPr>
        <w:t xml:space="preserve">Section 7.1 </w:t>
      </w:r>
      <w:r>
        <w:rPr>
          <w:rFonts w:ascii="Times New Roman" w:hAnsi="Times New Roman"/>
          <w:color w:val="000000"/>
          <w:sz w:val="22"/>
          <w:u w:val="single"/>
        </w:rPr>
        <w:t>Indebtedness and Disqualified Capital Stock</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Create, incur, assume or suffer to exist any Indebtedness, except: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created pursuant to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Indebtedness existing on the Closing Date and set forth on </w:t>
      </w:r>
      <w:r>
        <w:rPr>
          <w:rFonts w:ascii="Times New Roman" w:hAnsi="Times New Roman"/>
          <w:color w:val="000000"/>
          <w:sz w:val="22"/>
          <w:u w:val="single"/>
        </w:rPr>
        <w:t>Schedule 7.1</w:t>
      </w:r>
      <w:r>
        <w:rPr>
          <w:color w:val="000000"/>
        </w:rPr>
        <w:t xml:space="preserve"> </w:t>
      </w:r>
      <w:r>
        <w:rPr>
          <w:rFonts w:ascii="Times New Roman" w:hAnsi="Times New Roman"/>
          <w:color w:val="000000"/>
          <w:sz w:val="22"/>
        </w:rPr>
        <w:t>and any Permitted Refinancing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Indebtedness incurred to finance the acquisition, construction or improvement of any fixed or capital assets, including Capital Lease Obligations; </w:t>
      </w:r>
      <w:r>
        <w:rPr>
          <w:rFonts w:ascii="Times New Roman" w:hAnsi="Times New Roman"/>
          <w:color w:val="000000"/>
          <w:sz w:val="22"/>
          <w:u w:val="single"/>
        </w:rPr>
        <w:t>provided</w:t>
      </w:r>
      <w:r>
        <w:rPr>
          <w:rFonts w:ascii="Times New Roman" w:hAnsi="Times New Roman"/>
          <w:color w:val="000000"/>
          <w:sz w:val="22"/>
        </w:rPr>
        <w:t xml:space="preserve">, that such Indebtedness is incurred prior to or within one hundred eighty (180) days after such acquisition or the completion of such construction or improvements;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the aggregate principal amount of such Indebtedness at any time outstanding shall not exceed the greater of (i) $8,500,000 and (ii) fifteen percent (15.0%)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Indebtedness of Holdings owing to any Subsidiary and of any Subsidiary owing to Holdings or any other Subsidiary; </w:t>
      </w:r>
      <w:r>
        <w:rPr>
          <w:rFonts w:ascii="Times New Roman" w:hAnsi="Times New Roman"/>
          <w:color w:val="000000"/>
          <w:sz w:val="22"/>
          <w:u w:val="single"/>
        </w:rPr>
        <w:t>provided</w:t>
      </w:r>
      <w:r>
        <w:rPr>
          <w:rFonts w:ascii="Times New Roman" w:hAnsi="Times New Roman"/>
          <w:color w:val="000000"/>
          <w:sz w:val="22"/>
        </w:rPr>
        <w:t xml:space="preserve">, that any such Indebtedness that is owed by (A) a Subsidiary that is not a Loan Party shall be subject to </w:t>
      </w:r>
      <w:r>
        <w:rPr>
          <w:rFonts w:ascii="Times New Roman" w:hAnsi="Times New Roman"/>
          <w:color w:val="000000"/>
          <w:sz w:val="22"/>
          <w:u w:val="single"/>
        </w:rPr>
        <w:t>Section 7.4</w:t>
      </w:r>
      <w:r>
        <w:rPr>
          <w:color w:val="000000"/>
        </w:rPr>
        <w:t xml:space="preserve"> </w:t>
      </w:r>
      <w:r>
        <w:rPr>
          <w:rFonts w:ascii="Times New Roman" w:hAnsi="Times New Roman"/>
          <w:color w:val="000000"/>
          <w:sz w:val="22"/>
        </w:rPr>
        <w:t>and (B) a Loan Party to a Subsidiary that is not a Loan Party shall be subordinated to the Obligations on terms and conditions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Guarantees by any Loan Party or any Subsidiary of Indebtedness of any other Loan Party or any other Subsidiary; </w:t>
      </w:r>
      <w:r>
        <w:rPr>
          <w:rFonts w:ascii="Times New Roman" w:hAnsi="Times New Roman"/>
          <w:color w:val="000000"/>
          <w:sz w:val="22"/>
          <w:u w:val="single"/>
        </w:rPr>
        <w:t>provided</w:t>
      </w:r>
      <w:r>
        <w:rPr>
          <w:rFonts w:ascii="Times New Roman" w:hAnsi="Times New Roman"/>
          <w:color w:val="000000"/>
          <w:sz w:val="22"/>
        </w:rPr>
        <w:t xml:space="preserve">, that (A) no Guarantee by any Subsidiary of any Permitted Subordinated Indebtedness shall be permitted unless such Subsidiary shall have also provided a Guarantee of the Obligations pursuant to the Guaranty and (B) Guarantees by any Loan Party of Indebtedness of any Subsidiary that is not a Loan Party shall be subject to </w:t>
      </w:r>
      <w:r>
        <w:rPr>
          <w:rFonts w:ascii="Times New Roman" w:hAnsi="Times New Roman"/>
          <w:color w:val="000000"/>
          <w:sz w:val="22"/>
          <w:u w:val="single"/>
        </w:rPr>
        <w:t>Section 7.4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Hedging Obligations permitted by </w:t>
      </w:r>
      <w:r>
        <w:rPr>
          <w:rFonts w:ascii="Times New Roman" w:hAnsi="Times New Roman"/>
          <w:color w:val="000000"/>
          <w:sz w:val="22"/>
          <w:u w:val="single"/>
        </w:rPr>
        <w:t>Section 7.10</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Indebtedness of any Person acquired or assumed in connection with a Permitted Acquisition or Investment permitted pursuant to </w:t>
      </w:r>
      <w:r>
        <w:rPr>
          <w:rFonts w:ascii="Times New Roman" w:hAnsi="Times New Roman"/>
          <w:color w:val="000000"/>
          <w:sz w:val="22"/>
          <w:u w:val="single"/>
        </w:rPr>
        <w:t>Section 7.4</w:t>
      </w:r>
      <w:r>
        <w:rPr>
          <w:color w:val="000000"/>
        </w:rPr>
        <w:t xml:space="preserve"> </w:t>
      </w:r>
      <w:r>
        <w:rPr>
          <w:rFonts w:ascii="Times New Roman" w:hAnsi="Times New Roman"/>
          <w:color w:val="000000"/>
          <w:sz w:val="22"/>
        </w:rPr>
        <w:t xml:space="preserve">or any assets acquired in connection therewith;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 such Indebtedness is not created in anticipation of such Permitted Acquisition or such Investment, (B) such Indebtedness is secured only by assets acquired in such Permitted Acquisition or such Investment and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only obligors in respect of such Indebtedness shall be those Persons who were obligors in respect thereof prior to such Permitted Acquisition or such Investment and (C) the aggregate principal amount of such Indebtedness incurred under this </w:t>
      </w:r>
      <w:r>
        <w:rPr>
          <w:rFonts w:ascii="Times New Roman" w:hAnsi="Times New Roman"/>
          <w:color w:val="000000"/>
          <w:sz w:val="22"/>
          <w:u w:val="single"/>
        </w:rPr>
        <w:t>Section 7.1(a)(vii)</w:t>
      </w:r>
      <w:r>
        <w:rPr>
          <w:color w:val="000000"/>
        </w:rPr>
        <w:t xml:space="preserve"> </w:t>
      </w:r>
      <w:r>
        <w:rPr>
          <w:rFonts w:ascii="Times New Roman" w:hAnsi="Times New Roman"/>
          <w:color w:val="000000"/>
          <w:sz w:val="22"/>
        </w:rPr>
        <w:t xml:space="preserve">at any time outstanding does not exceed the greater of (i) $14,000,000 and (ii) twenty-five percent (25.0%) of Consolidated EBITDA for the most recently ended four (4) Fiscal Quarter period for which financial statements have been delivered pursuant to </w:t>
      </w:r>
      <w:r>
        <w:rPr>
          <w:rFonts w:ascii="Times New Roman" w:hAnsi="Times New Roman"/>
          <w:color w:val="000000"/>
          <w:sz w:val="22"/>
          <w:u w:val="single"/>
        </w:rPr>
        <w:t>Sections</w:t>
      </w:r>
      <w:r>
        <w:rPr>
          <w:color w:val="000000"/>
        </w:rPr>
        <w:t xml:space="preserve"> </w:t>
      </w:r>
      <w:r>
        <w:rPr>
          <w:rFonts w:ascii="Times New Roman" w:hAnsi="Times New Roman"/>
          <w:color w:val="000000"/>
          <w:sz w:val="22"/>
          <w:u w:val="single"/>
        </w:rPr>
        <w:t>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owed to any Person (including obligations in respect of letters of credit for the benefit of such Person) providing workers’ compensation, health, disability or other employee benefits or property, casualty, liability insurance, self-insurance, pursuant to reimbursement or indemnification obligations to such Person or to finance insurance premiums, in each case incurred in the ordinary course of business or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in respect of or guarantee of performance bonds, bid bonds, appeal bonds, surety bonds, performance and completion guarantees, workers’ compensation claims and banker’s acceptances, warehouse receipts or similar instruments and similar obligations (other than in respect of other Indebtedness for borrowed money) in each case provided in the ordinary course of business or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cash management obligations and other Indebtedness in respect of netting services, overdraft protection and similar arrangements, in each case, in connection with cash management and deposit accounts maintained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constituting Indebtedness, take or pay obligations contained in supply arrangements, in each case, in the ordinary course of business or consistent with past practice;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constituting Indebtedness, obligations arising from agreements providing for indemnification, purchase price adjustments or similar obligations (other than Earnout Obligations), in each case incurred or assumed in connection with the acquisition or disposition of any business or assets permitted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unsecured Indebtedness consisting of Earnout Obligations owed to the seller of any business or assets acquired in a Permitted Acquisition or other Investment permitted under </w:t>
      </w:r>
      <w:r>
        <w:rPr>
          <w:rFonts w:ascii="Times New Roman" w:hAnsi="Times New Roman"/>
          <w:color w:val="000000"/>
          <w:sz w:val="22"/>
          <w:u w:val="single"/>
        </w:rPr>
        <w:t>Section 7.4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constituting Indebtedness, Guarantees in the ordinary course of business of the obligations (other than Indebtedness for borrowed money) of suppliers, customers, franchisees and licensees of the Loan Parties and their respective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obligations in respect of letters of support, guarantees or similar obligations issued, made or incurred for the benefit of any Loan Party or any of their respective Subsidiaries to the extent required in connection with any statutory filing or the delivery of audit opinions performed in jurisdictions other than the United States;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other unsecured Indebtedness (including Permitted Subordinated Indebtedness) in an aggregate outstanding amount not to exceed an amount such that, after giving effect to the incurrence thereof on a Pro Forma Basis, the Consolidated Total Net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Leverage Ratio is not greater than 3.50 to 1.00 (without “netting” the cash proceeds of such unsecured Indebtedness against Consolidated Total Debt);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at the time of incurrence thereof, no Event of Default or Default shall have occurred or be continuing or shall result therefrom and (ii) such Indebtedness shall not be guaranteed by any entity that is not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other Indebtedness and any Permitted Refinancing thereof in an aggregate principal amount at any time outstanding not to exceed the greater of (i) $14,000,000 and (ii) twenty-five percent (25.0%)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obligations (other than Indebtedness for borrowed money) arising out of, or attributable to, the exercise of appraisal rights and the settlement of any claims or actions (whether actual, contingent or potential) with respect to any Investment permitted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consisting of obligations of any Loan Party or any of their Subsidiaries under deferred compensation or other similar arrangements incurred by such Person in connection with Permitted Acquisitions or any other Investment permitted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in respect of corporate credit cards (A) owing to the Administrative Agent, any Lender and/or their respective Affiliates and (B) owing to other Persons in an aggregate principal amount not exceeding $1,500,000 at any time outstanding;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(xxi)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Permitted Junior Refinancing Debt, Permitted Senior Refinancing Debt, Permitted Unsecured Refinancing Debt, and any Permitted Refinancing of any of the foregoing;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(xxii)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all premiums (if any), interest (including post-petition interest), fees, expenses, charges and additional or contingent interest on obligations described in </w:t>
      </w:r>
      <w:r>
        <w:rPr>
          <w:rFonts w:ascii="Times New Roman" w:hAnsi="Times New Roman"/>
          <w:color w:val="000000"/>
          <w:sz w:val="22"/>
          <w:u w:val="single"/>
        </w:rPr>
        <w:t>Section 7.1(a)(i)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Section 7.1(a)(xxi)</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Without limitation of anything in </w:t>
      </w:r>
      <w:r>
        <w:rPr>
          <w:rFonts w:ascii="Times New Roman" w:hAnsi="Times New Roman"/>
          <w:color w:val="000000"/>
          <w:sz w:val="22"/>
          <w:u w:val="single"/>
        </w:rPr>
        <w:t>clause (a)</w:t>
      </w:r>
      <w:r>
        <w:rPr>
          <w:rFonts w:ascii="Times New Roman" w:hAnsi="Times New Roman"/>
          <w:color w:val="000000"/>
          <w:sz w:val="22"/>
        </w:rPr>
        <w:t>, issue any Disqualified Capital Stock to any Person other than Holdings, the Borrower or a Wholly-Owned Subsidiary.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7.1</w:t>
      </w:r>
      <w:r>
        <w:rPr>
          <w:rFonts w:ascii="Times New Roman" w:hAnsi="Times New Roman"/>
          <w:color w:val="000000"/>
          <w:sz w:val="22"/>
        </w:rPr>
        <w:t xml:space="preserve">, in the event that an item of Indebtedness (or any portion thereof, but excluding any Indebtedness incurred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7.1(a)(i)</w:t>
      </w:r>
      <w:r>
        <w:rPr>
          <w:rFonts w:ascii="Times New Roman" w:hAnsi="Times New Roman"/>
          <w:color w:val="000000"/>
          <w:sz w:val="22"/>
        </w:rPr>
        <w:t xml:space="preserve">) at any time meets the criteria of more than one of the categories described above in </w:t>
      </w:r>
      <w:r>
        <w:rPr>
          <w:rFonts w:ascii="Times New Roman" w:hAnsi="Times New Roman"/>
          <w:color w:val="000000"/>
          <w:sz w:val="22"/>
          <w:u w:val="single"/>
        </w:rPr>
        <w:t>Section 7.1(a)</w:t>
      </w:r>
      <w:r>
        <w:rPr>
          <w:rFonts w:ascii="Times New Roman" w:hAnsi="Times New Roman"/>
          <w:color w:val="000000"/>
          <w:sz w:val="22"/>
        </w:rPr>
        <w:t xml:space="preserve">, the Borrower, in its sole discretion, may classify or reclassify (or later divide, classify or reclassify) such item of Indebtedness (or any portion thereof) and shall only be required to include the amount and type of such Indebtedness in one of the above clauses. Accrual of interest or dividends, the accretion of accreted value, the accretion or amortization of original issue discount and the payment of interest, premium, fees or expenses, in the form of additional Indebtedness, or preferred stock (in each case so long as such additional Indebtedness or preferred stock is in the same form and on the same terms as the Indebtedness to which such payment relates) shall not be deemed to be an incurrence of Indebtedness for purposes of this </w:t>
      </w:r>
      <w:r>
        <w:rPr>
          <w:rFonts w:ascii="Times New Roman" w:hAnsi="Times New Roman"/>
          <w:color w:val="000000"/>
          <w:sz w:val="22"/>
          <w:u w:val="single"/>
        </w:rPr>
        <w:t>Section 7.1</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set forth in this Agreement or any other Loan Document, all Indebtedness owed by a Loan Party to a Subsidiary that is not a Loan Party shall be unsecured and shall be subordinated to the Obligations on terms and conditions reasonably satisfactory to the Administrative Agent.</w:t>
      </w:r>
    </w:p>
    <w:p>
      <w:pPr>
        <w:pStyle w:val="TextBody"/>
        <w:bidi w:val="0"/>
        <w:spacing w:before="240" w:after="283"/>
        <w:jc w:val="both"/>
        <w:rPr>
          <w:rFonts w:ascii="Times New Roman" w:hAnsi="Times New Roman"/>
          <w:sz w:val="20"/>
        </w:rPr>
      </w:pPr>
      <w:bookmarkStart w:id="434" w:name="section_7_2_negative_pledge___create__in"/>
      <w:bookmarkEnd w:id="434"/>
      <w:r>
        <w:rPr>
          <w:rFonts w:ascii="Times New Roman" w:hAnsi="Times New Roman"/>
          <w:color w:val="000000"/>
          <w:sz w:val="22"/>
        </w:rPr>
        <w:t xml:space="preserve">Section 7.2 </w:t>
      </w:r>
      <w:r>
        <w:rPr>
          <w:rFonts w:ascii="Times New Roman" w:hAnsi="Times New Roman"/>
          <w:color w:val="000000"/>
          <w:sz w:val="22"/>
          <w:u w:val="single"/>
        </w:rPr>
        <w:t>Negative Pledge</w:t>
      </w:r>
      <w:r>
        <w:rPr>
          <w:rFonts w:ascii="Times New Roman" w:hAnsi="Times New Roman"/>
          <w:color w:val="000000"/>
          <w:sz w:val="22"/>
        </w:rPr>
        <w:t>. Create, incur, assume or suffer to exist any Lien on any of its assets or property now owned or hereafter acquired or, except: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securing the Obligations pursuant to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Permitted Encumbrances;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Liens existing on the Closing Date and set forth on </w:t>
      </w:r>
      <w:r>
        <w:rPr>
          <w:rFonts w:ascii="Times New Roman" w:hAnsi="Times New Roman"/>
          <w:color w:val="000000"/>
          <w:sz w:val="22"/>
          <w:u w:val="single"/>
        </w:rPr>
        <w:t>Schedule 7.2</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Times New Roman" w:hAnsi="Times New Roman"/>
          <w:color w:val="000000"/>
          <w:sz w:val="22"/>
          <w:u w:val="single"/>
        </w:rPr>
        <w:t>provided</w:t>
      </w:r>
      <w:r>
        <w:rPr>
          <w:rFonts w:ascii="Times New Roman" w:hAnsi="Times New Roman"/>
          <w:color w:val="000000"/>
          <w:sz w:val="22"/>
        </w:rPr>
        <w:t xml:space="preserve">, that (i) such Lien secures Indebtedness permitted by </w:t>
      </w:r>
      <w:r>
        <w:rPr>
          <w:rFonts w:ascii="Times New Roman" w:hAnsi="Times New Roman"/>
          <w:color w:val="000000"/>
          <w:sz w:val="22"/>
          <w:u w:val="single"/>
        </w:rPr>
        <w:t>Section 7.1(a)(iii)</w:t>
      </w:r>
      <w:r>
        <w:rPr>
          <w:rFonts w:ascii="Times New Roman" w:hAnsi="Times New Roman"/>
          <w:color w:val="000000"/>
          <w:sz w:val="22"/>
        </w:rPr>
        <w:t>, (ii) such Lien attaches to such asset concurrently or within 180 days after the acquisition, improvement or completion of the construction thereof; (iii) such Lien does not extend to any other asset; and (iv) the Indebtedness secured thereby does not exceed the cost of acquiring, constructing or improving such fixed or capital assets;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granted by a Subsidiary that is not a Loan Party in favor of any Loan Party, Liens granted by a Subsidiary that is not a Loan Party in favor of a Subsidiary that is not a Loan Party and Liens granted by a Loan Party in favor of any other Loan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Lien on any property or asset of a Person existing at the time such Person is merged with or into or consolidated with or otherwise acquired by a Loan Party;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 such Lien was not created in contemplation of such merger, consolidation or acquisition as the case may be, (ii) such Lien does not extend to any property or assets other than those of the Person merged with or into or consolidated with or otherwise acquired by a Loan Party, (iii) such Lien shall secure only those obligations that it secures on the date of such merger, consolidated or acquisition and (iv) the Indebtedness secured by such Lien is incurred pursuant to and in accordance with the terms of </w:t>
      </w:r>
      <w:r>
        <w:rPr>
          <w:rFonts w:ascii="Times New Roman" w:hAnsi="Times New Roman"/>
          <w:color w:val="000000"/>
          <w:sz w:val="22"/>
          <w:u w:val="single"/>
        </w:rPr>
        <w:t>Section 7.1(a)(vii)</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 of a collecting bank arising in the ordinary course of business under Section 4-208 of the UCC in effect in the relevant jurisdiction covering only the items being collected upon, (ii) in favor of a banking or other financial institution arising as a matter of law or contract encumbering deposits or other funds maintained with a financial institution (including netting arrangements or the right of set off) and which are within the general parameters customary in the banking industry and (iii) encumbering reasonable customary initial deposits and margin deposits and similar Liens attaching to commodity trading accounts or other brokerage accounts, in each case incurred in the ordinary course of business, not for speculative purposes and not in connection with the incurrence of Indebtedness for borrowed money;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Liens representing (i) any interest or title of a licensor, lessor or sublicensor or sublessor under any lease or license permitted by this Agreement, (ii) any Lien or restriction that the interest or title of such lessor, licensor, sublessor or sublicensor may be subject to, or (iii) the interest of a licensee, lessee, sublicensee or sublessee arising by virtue of being granted a license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 lease permitted by this Agreement, in each case not interfering in any material respect with the ordinary conduct of the business of Holdings and its Subsidiaries, taken as a whole;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out of conditional sale, title retention, consignment or similar arrangements for the sale of goods;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filing of UCC financing statements solely as a precautionary measure or required notice in connection with operating leases or consignment of goods;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Liens not otherwise permitted by this </w:t>
      </w:r>
      <w:r>
        <w:rPr>
          <w:rFonts w:ascii="Times New Roman" w:hAnsi="Times New Roman"/>
          <w:color w:val="000000"/>
          <w:sz w:val="22"/>
          <w:u w:val="single"/>
        </w:rPr>
        <w:t>Section 7.2</w:t>
      </w:r>
      <w:r>
        <w:rPr>
          <w:color w:val="000000"/>
        </w:rPr>
        <w:t xml:space="preserve"> </w:t>
      </w:r>
      <w:r>
        <w:rPr>
          <w:rFonts w:ascii="Times New Roman" w:hAnsi="Times New Roman"/>
          <w:color w:val="000000"/>
          <w:sz w:val="22"/>
        </w:rPr>
        <w:t xml:space="preserve">to the extent that the aggregate outstanding amount (or in the case of Indebtedness, the principal amount) of the obligations secured thereby at any time outstanding does not exceed the greater of (i) $11,000,000 and (ii) twenty percent (20.0%)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Liens (i) attaching solely to cash advances and cash earnest money deposits in connection with Investments permitted under </w:t>
      </w:r>
      <w:r>
        <w:rPr>
          <w:rFonts w:ascii="Times New Roman" w:hAnsi="Times New Roman"/>
          <w:color w:val="000000"/>
          <w:sz w:val="22"/>
          <w:u w:val="single"/>
        </w:rPr>
        <w:t>Section 7.4</w:t>
      </w:r>
      <w:r>
        <w:rPr>
          <w:color w:val="000000"/>
        </w:rPr>
        <w:t xml:space="preserve"> </w:t>
      </w:r>
      <w:r>
        <w:rPr>
          <w:rFonts w:ascii="Times New Roman" w:hAnsi="Times New Roman"/>
          <w:color w:val="000000"/>
          <w:sz w:val="22"/>
        </w:rPr>
        <w:t>or (ii) consisting of an agreement to dispose of any property in a disposition permitted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insurance policies and the proceeds thereof granted in the ordinary course of business to secure the financing of insurance premiums with respect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encumbering deposits made to secure obligations arising from contractual or warranty requirements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 in favor of customs and revenue authorities to secure payment of customs duties in connection with the importation of goods or (ii)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of bailees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utility and similar deposits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disclosed as exceptions to coverage in title policies and endorsements with respect to any real property, in each case approved by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that are contractual rights of set-off (i) relating to the establishment of depository relations with banks or other financial institutions not given in connection with the incurrence of Indebtedness for borrowed money, (ii) relating to pooled deposit or sweep accounts of the Borrower or any Loan Party to permit satisfaction of overdraft or similar obligations incurred in the ordinary course of business of the Borrower or the other Loan Parties or (iii) relating to purchase orders and other agreements entered into by any Loan Party or any Subsidiary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 non-exclusive licenses and sublicenses granted by Loan Parties or any of their Subsidiaries and leases and subleases by any Loan Party or any Subsidiary to third parties in the ordinary course of business not interfering in any material respect with the business of the Loan Parties or any of their Subsidiaries; (ii) exclusive licenses to Persons that are not Affiliates of the Borrower for fair market value of IP Rights in any jurisdiction outside of the United States that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does not result in a legal transfer of title of the licensed intellectual property; (iii) exclusive licenses to Persons that are not Affiliates of the Borrower for fair market value of non-core products acquired in connection with any Permitted Acquisition; or (iv) exclusive licenses acquired in any Permitted Acquisition so long as such exclusive license was not entered into in contemplation of avoiding the obligations or restrictions under this Agreement or any other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the Collateral securing Permitted Junior Refinancing Debt, Permitted Senior Refinancing Debt, Permitted Unsecured Refinancing Debt, or any Permitted Refinancing of any of the foregoing, in each case subject to any applicable Intercreditor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by operation of Law in the United States under Article 2 of the UCC in favor of a reclaiming seller of goods or buyer of goods;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Liens and privileges arising mandatorily by Law not otherwise described in this </w:t>
      </w:r>
      <w:r>
        <w:rPr>
          <w:rFonts w:ascii="Times New Roman" w:hAnsi="Times New Roman"/>
          <w:color w:val="000000"/>
          <w:sz w:val="22"/>
          <w:u w:val="single"/>
        </w:rPr>
        <w:t>Section 7.2</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any Subsidiary that is not a Wholly-Owned Subsidiary, any put and call arrangements or restrictions on disposition related to its Capital Stock entitled to vote (within the meaning of Treas. Reg. Section 1.956-2(c)(2)) set forth in its Organization Documents or any related joint venture or similar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ground leases entered into in the ordinary course of business in respect of real property on which facilities owned or leased by any Loan Party or any of their respective Subsidiaries are located;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(z)</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Loan Parties and their Subsidiaries, taken as a whole;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out of conditional sale, title retention, consignment or similar arrangements for sale of goods entered into by the Loan Parties or any of their Subsidiaries in the ordinary course of business and not otherwise prohibited by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7.2</w:t>
      </w:r>
      <w:r>
        <w:rPr>
          <w:rFonts w:ascii="Times New Roman" w:hAnsi="Times New Roman"/>
          <w:color w:val="000000"/>
          <w:sz w:val="20"/>
        </w:rPr>
        <w:t xml:space="preserve"> </w:t>
      </w:r>
      <w:r>
        <w:rPr>
          <w:rFonts w:ascii="Times New Roman" w:hAnsi="Times New Roman"/>
          <w:color w:val="000000"/>
          <w:sz w:val="22"/>
        </w:rPr>
        <w:t>(x) a Lien need not be incurred solely by reference to one category of Liens described above but may be incurred under any combination of such categories (including in part under one such category and in part under any other such category) and (y) in the event that a Lien (or any portion thereof) meets the criteria of one or more of such categories of Liens described above, the Borrower, in its sole discretion, may classify or may subsequently reclassify at any time such Lien (or any portion thereof) in any manner that complies with this covenant.</w:t>
      </w:r>
    </w:p>
    <w:p>
      <w:pPr>
        <w:pStyle w:val="TextBody"/>
        <w:bidi w:val="0"/>
        <w:spacing w:before="240" w:after="283"/>
        <w:jc w:val="both"/>
        <w:rPr>
          <w:rFonts w:ascii="Times New Roman" w:hAnsi="Times New Roman"/>
          <w:sz w:val="20"/>
        </w:rPr>
      </w:pPr>
      <w:bookmarkStart w:id="435" w:name="section_7_3_fundamental_changes__conduct"/>
      <w:bookmarkEnd w:id="435"/>
      <w:r>
        <w:rPr>
          <w:rFonts w:ascii="Times New Roman" w:hAnsi="Times New Roman"/>
          <w:color w:val="000000"/>
          <w:sz w:val="22"/>
        </w:rPr>
        <w:t xml:space="preserve">Section 7.3 </w:t>
      </w:r>
      <w:r>
        <w:rPr>
          <w:rFonts w:ascii="Times New Roman" w:hAnsi="Times New Roman"/>
          <w:color w:val="000000"/>
          <w:sz w:val="22"/>
          <w:u w:val="single"/>
        </w:rPr>
        <w:t>Fundamental Changes; Conduct of Business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Merge into or consolidate into any other Person, or permit any other Person to merge into or consolidate with it, or liquidate or dissolve; </w:t>
      </w:r>
      <w:r>
        <w:rPr>
          <w:rFonts w:ascii="Times New Roman" w:hAnsi="Times New Roman"/>
          <w:color w:val="000000"/>
          <w:sz w:val="22"/>
          <w:u w:val="single"/>
        </w:rPr>
        <w:t>provided</w:t>
      </w:r>
      <w:r>
        <w:rPr>
          <w:rFonts w:ascii="Times New Roman" w:hAnsi="Times New Roman"/>
          <w:color w:val="000000"/>
          <w:sz w:val="22"/>
        </w:rPr>
        <w:t xml:space="preserve">, that (1) if at the time thereof and immediately after giving effect thereto, no Event of Default shall have occurred and be continuing (i) the Borrower or any Subsidiary may merge with a Person pursuant to a Permitted Acquisition if the Borrower (or such Subsidiary if the Borrower is not a party to such merger) is the surviving Person, (ii) any Subsidiary may merge into another Subsidiary; </w:t>
      </w:r>
      <w:r>
        <w:rPr>
          <w:rFonts w:ascii="Times New Roman" w:hAnsi="Times New Roman"/>
          <w:color w:val="000000"/>
          <w:sz w:val="22"/>
          <w:u w:val="single"/>
        </w:rPr>
        <w:t>provided</w:t>
      </w:r>
      <w:r>
        <w:rPr>
          <w:rFonts w:ascii="Times New Roman" w:hAnsi="Times New Roman"/>
          <w:color w:val="000000"/>
          <w:sz w:val="22"/>
        </w:rPr>
        <w:t xml:space="preserve">, that if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party to such merger is a Guarantor, the Guarantor shall be the surviving Person or the surviving Person shall become a Guarantor concurrently with the consummation of such merger and (iii) any Subsidiary (other than a Guarantor) may liquidate or dissolve if the Borrower determines in good faith that such liquidation or dissolution is in the best interests of the Borrower and is not materially disadvantageous to the Lenders;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any such merger involving a Person that is not a Wholly-Owned Subsidiary immediately prior to such merger shall not be permitted unless also permitted by </w:t>
      </w:r>
      <w:r>
        <w:rPr>
          <w:rFonts w:ascii="Times New Roman" w:hAnsi="Times New Roman"/>
          <w:color w:val="000000"/>
          <w:sz w:val="22"/>
          <w:u w:val="single"/>
        </w:rPr>
        <w:t>Section 7.4</w:t>
      </w:r>
      <w:r>
        <w:rPr>
          <w:rFonts w:ascii="Times New Roman" w:hAnsi="Times New Roman"/>
          <w:color w:val="000000"/>
          <w:sz w:val="22"/>
        </w:rPr>
        <w:t xml:space="preserve">, (2) (i) any Subsidiary that is not a Loan Party may merge, amalgamate or consolidate with or into any other Subsidiary that is not a Loan Party, (ii) any Subsidiary may liquidate or dissolve, so long as its remaining assets, if any, are transferred to another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transferor in such a transaction is a Guarantor, then (i) the transferee must be a Guarantor or the Borrower or (ii) to the extent constituting an Investment, such Investment must be a permitted Investment in or Indebtedness of a Subsidiary which is not a Loan Party in accordance with </w:t>
      </w:r>
      <w:r>
        <w:rPr>
          <w:rFonts w:ascii="Times New Roman" w:hAnsi="Times New Roman"/>
          <w:color w:val="000000"/>
          <w:sz w:val="22"/>
          <w:u w:val="single"/>
        </w:rPr>
        <w:t>Section 7.4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7.1</w:t>
      </w:r>
      <w:r>
        <w:rPr>
          <w:rFonts w:ascii="Times New Roman" w:hAnsi="Times New Roman"/>
          <w:color w:val="000000"/>
          <w:sz w:val="22"/>
        </w:rPr>
        <w:t xml:space="preserve">, respectively and (iii) any Subsidiary may change its legal form (subject to compliance with </w:t>
      </w:r>
      <w:r>
        <w:rPr>
          <w:rFonts w:ascii="Times New Roman" w:hAnsi="Times New Roman"/>
          <w:color w:val="000000"/>
          <w:sz w:val="22"/>
          <w:u w:val="single"/>
        </w:rPr>
        <w:t>Section 5.2(h)</w:t>
      </w:r>
      <w:r>
        <w:rPr>
          <w:rFonts w:ascii="Times New Roman" w:hAnsi="Times New Roman"/>
          <w:color w:val="000000"/>
          <w:sz w:val="22"/>
        </w:rPr>
        <w:t xml:space="preserve">) if, with respect to </w:t>
      </w:r>
      <w:r>
        <w:rPr>
          <w:rFonts w:ascii="Times New Roman" w:hAnsi="Times New Roman"/>
          <w:color w:val="000000"/>
          <w:sz w:val="22"/>
          <w:u w:val="single"/>
        </w:rPr>
        <w:t>clauses (ii)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(iii)</w:t>
      </w:r>
      <w:r>
        <w:rPr>
          <w:rFonts w:ascii="Times New Roman" w:hAnsi="Times New Roman"/>
          <w:color w:val="000000"/>
          <w:sz w:val="22"/>
        </w:rPr>
        <w:t xml:space="preserve">, the Borrower reasonably determines in good faith that such action is in the best interest of Holdings, the Borrower and their respective Subsidiaries and is not materially disadvantageous to the Lenders (it being understood that in the case of any change in legal form, a Subsidiary that is a Guarantor will remain a Guarantor unless such Guarantor is otherwise permitted to cease being a Guarantor hereunder), and (3) any Subsidiary may dispose of all or substantially all of its assets (upon voluntary liquidation or otherwise) to the Borrower or to another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if the transferor in such a transaction is the Borrower or a Guarantor, then (i) the transferee must be a Guarantor or the Borrower or (ii) to the extent constituting an Investment, such Investment must be a permitted Investment in or Indebtedness of a Subsidiary which is not a Loan Party in accordance with </w:t>
      </w:r>
      <w:r>
        <w:rPr>
          <w:rFonts w:ascii="Times New Roman" w:hAnsi="Times New Roman"/>
          <w:color w:val="000000"/>
          <w:sz w:val="22"/>
          <w:u w:val="single"/>
        </w:rPr>
        <w:t>Section 7.4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7.1</w:t>
      </w:r>
      <w:r>
        <w:rPr>
          <w:rFonts w:ascii="Times New Roman" w:hAnsi="Times New Roman"/>
          <w:color w:val="000000"/>
          <w:sz w:val="22"/>
        </w:rPr>
        <w:t>, respectively.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Engage in any business other than businesses of the type conducted by the Loan Parties and their respective Subsidiaries on the Closing Date and businesses reasonably related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36" w:name="section_7_4_investments__loans__etc___ma"/>
      <w:bookmarkEnd w:id="436"/>
      <w:r>
        <w:rPr>
          <w:rFonts w:ascii="Times New Roman" w:hAnsi="Times New Roman"/>
          <w:color w:val="000000"/>
          <w:sz w:val="22"/>
        </w:rPr>
        <w:t xml:space="preserve">Section 7.4 </w:t>
      </w:r>
      <w:r>
        <w:rPr>
          <w:rFonts w:ascii="Times New Roman" w:hAnsi="Times New Roman"/>
          <w:color w:val="000000"/>
          <w:sz w:val="22"/>
          <w:u w:val="single"/>
        </w:rPr>
        <w:t>Investments, Loans, Etc</w:t>
      </w:r>
      <w:r>
        <w:rPr>
          <w:rFonts w:ascii="Times New Roman" w:hAnsi="Times New Roman"/>
          <w:color w:val="000000"/>
          <w:sz w:val="22"/>
        </w:rPr>
        <w:t>. Make any Investment, except: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Investments existing on the date hereof and set forth on </w:t>
      </w:r>
      <w:r>
        <w:rPr>
          <w:rFonts w:ascii="Times New Roman" w:hAnsi="Times New Roman"/>
          <w:color w:val="000000"/>
          <w:sz w:val="22"/>
          <w:u w:val="single"/>
        </w:rPr>
        <w:t>Schedule 7.4</w:t>
      </w:r>
      <w:r>
        <w:rPr>
          <w:color w:val="000000"/>
        </w:rPr>
        <w:t xml:space="preserve"> </w:t>
      </w:r>
      <w:r>
        <w:rPr>
          <w:rFonts w:ascii="Times New Roman" w:hAnsi="Times New Roman"/>
          <w:color w:val="000000"/>
          <w:sz w:val="22"/>
        </w:rPr>
        <w:t>(including Investments in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Cash Equivalents;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Guarantees by a Loan Party or any Subsidiary constituting Indebtedness permitted by </w:t>
      </w:r>
      <w:r>
        <w:rPr>
          <w:rFonts w:ascii="Times New Roman" w:hAnsi="Times New Roman"/>
          <w:color w:val="000000"/>
          <w:sz w:val="22"/>
          <w:u w:val="single"/>
        </w:rPr>
        <w:t>Section 7.1</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Investments made by any Loan Party or any Subsidiary in or to any other Loan Party or in or to any Subsidiary that is not a Loan Party (subject to the limitations applicable to Capital Stock in a Foreign Subsidiary set forth in </w:t>
      </w:r>
      <w:r>
        <w:rPr>
          <w:rFonts w:ascii="Times New Roman" w:hAnsi="Times New Roman"/>
          <w:color w:val="000000"/>
          <w:sz w:val="22"/>
          <w:u w:val="single"/>
        </w:rPr>
        <w:t>Section 5.11(a)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the aggregate amount of Investments by Loan Parties in or to, and Guarantees by Loan Parties of Indebtedness of, any Subsidiary that is not a Loan Party shall not exceed at any time outstanding the greater of (i) $8,500,000 and (ii) fifteen percent (15.0%)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loans or advances to employees, officers or directors, managers or members of any Loan Party or any Subsidiary in the ordinary course of business for travel, relocation and related expenses; </w:t>
      </w:r>
      <w:r>
        <w:rPr>
          <w:rFonts w:ascii="Times New Roman" w:hAnsi="Times New Roman"/>
          <w:color w:val="000000"/>
          <w:sz w:val="22"/>
          <w:u w:val="single"/>
        </w:rPr>
        <w:t>provided</w:t>
      </w:r>
      <w:r>
        <w:rPr>
          <w:rFonts w:ascii="Times New Roman" w:hAnsi="Times New Roman"/>
          <w:color w:val="000000"/>
          <w:sz w:val="22"/>
        </w:rPr>
        <w:t>, that the aggregate amount of all such loans and advances does not exceed $2,000,000 in the aggregate at any time outstanding;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Hedging Transactions permitted by </w:t>
      </w:r>
      <w:r>
        <w:rPr>
          <w:rFonts w:ascii="Times New Roman" w:hAnsi="Times New Roman"/>
          <w:color w:val="000000"/>
          <w:sz w:val="22"/>
          <w:u w:val="single"/>
        </w:rPr>
        <w:t>Section 7.10</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Permitted Acquisitions;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Investments of any Person existing at the time such Person becomes a Subsidiary or consolidates, amalgamates or merges with Holdings or any Subsidiary (including in connection with an Acquisition or other Investment permitted hereunder);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Investment was not made in contemplation of such Person becoming a Subsidiary or such consolidation, amalgamation or merger;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Investments resulting from pledges or deposits described in </w:t>
      </w:r>
      <w:r>
        <w:rPr>
          <w:rFonts w:ascii="Times New Roman" w:hAnsi="Times New Roman"/>
          <w:color w:val="000000"/>
          <w:sz w:val="22"/>
          <w:u w:val="single"/>
        </w:rPr>
        <w:t>clauses (c)</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color w:val="000000"/>
        </w:rPr>
        <w:t xml:space="preserve"> </w:t>
      </w:r>
      <w:r>
        <w:rPr>
          <w:rFonts w:ascii="Times New Roman" w:hAnsi="Times New Roman"/>
          <w:color w:val="000000"/>
          <w:sz w:val="22"/>
        </w:rPr>
        <w:t>of the definition of the term “</w:t>
      </w:r>
      <w:r>
        <w:rPr>
          <w:rFonts w:ascii="Times New Roman" w:hAnsi="Times New Roman"/>
          <w:color w:val="000000"/>
          <w:sz w:val="22"/>
          <w:u w:val="single"/>
        </w:rPr>
        <w:t>Permitted Encumbrance</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receivables or other trade payables owing to Holdings or any Subsidiary if created or acquired in the ordinary course of business and payable or dischargeable in accordance with customary trade terms,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such trade terms may include such concessionary trade terms as Holdings or such Subsidiary deems reasonable under the circumstances;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in deposit accounts and securities accounts solely for Cash Equivalents opened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cash earnest money deposits in connection with a Permitted Acquisition or other Investment permitted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endorsements for collection or deposit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Guarantee obligations of any Loan Party or any Subsidiary in respect of letters of support, guarantees or similar obligations issued, made or incurred for the benefit of any Subsidiary to the extent required in connection with any statutory filing or the delivery of audit opinions performed in jurisdictions other than within the United States;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Guarantees by any Loan Party or any Subsidiary of leases of real property (other than Capital Lease Obligations), contracts, or of other obligations that do not constitute Indebtedness, in each case entered into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the extent constituting Investments, Indebtedness permitted pursuant to </w:t>
      </w:r>
      <w:r>
        <w:rPr>
          <w:rFonts w:ascii="Times New Roman" w:hAnsi="Times New Roman"/>
          <w:color w:val="000000"/>
          <w:sz w:val="22"/>
          <w:u w:val="single"/>
        </w:rPr>
        <w:t>Section 7.1(a)(xiv)</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Investments in an aggregate outstanding amount not to exceed an amount such that, after giving effect to the incurrence thereof on a Pro Forma Basis, the Consolidated Total Net Leverage Ratio is not greater than 2.00 to 1.00;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other Investments which in the aggregate in any Fiscal Year do not exceed the greater of (i) $11,000,000 and (ii) twenty percent (20.0%)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7.4</w:t>
      </w:r>
      <w:r>
        <w:rPr>
          <w:rFonts w:ascii="Times New Roman" w:hAnsi="Times New Roman"/>
          <w:color w:val="000000"/>
          <w:sz w:val="22"/>
        </w:rPr>
        <w:t xml:space="preserve">, (x) an Investment need not be made solely by reference to one category of Investments described in </w:t>
      </w:r>
      <w:r>
        <w:rPr>
          <w:rFonts w:ascii="Times New Roman" w:hAnsi="Times New Roman"/>
          <w:color w:val="000000"/>
          <w:sz w:val="22"/>
          <w:u w:val="single"/>
        </w:rPr>
        <w:t>Sections 7.4(a)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rPr>
        <w:t xml:space="preserve">above but may be made under any combination of such categories (including in part under one such category and in part under any other such category), (y) in the event that an Investment (or any portion thereof) meets the criteria of one or more of such categories of Investments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rPr>
        <w:t xml:space="preserve">above, the Borrower, in its sole discretion, may classify or may subsequently reclassify at any time such Investment (or any portion thereof) in any manner that complies with this covenant and (z) any Investment that is written down, written off or forgiven by Holdings or any of its Subsidiaries shall continue to count against any cap set forth in the clause or clauses of this </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pursuant to which such Investment is permitted. Any Investment that exceeds the limits of any particular clause set forth above may be allocated amongst more than one of such clauses to permit the incurrence or holding of such Investment to the extent such excess is permitted as an Investment under such other clauses.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7.5 </w:t>
      </w:r>
      <w:r>
        <w:rPr>
          <w:rFonts w:ascii="Times New Roman" w:hAnsi="Times New Roman"/>
          <w:color w:val="000000"/>
          <w:sz w:val="22"/>
          <w:u w:val="single"/>
        </w:rPr>
        <w:t>Restricted Payments</w:t>
      </w:r>
      <w:r>
        <w:rPr>
          <w:rFonts w:ascii="Times New Roman" w:hAnsi="Times New Roman"/>
          <w:color w:val="000000"/>
          <w:sz w:val="22"/>
        </w:rPr>
        <w:t>. Declare or make, or agree to pay or make, directly or indirectly, any Restricted Payment, except: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dividends or other distributions payable solely in shares of any class of its common stock;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Restricted Payments made to Persons that own Capital Stock in a Subsidiary, on a pro rata basis according to such Person’s respective holdings of such Capital Stock;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redemptions or repurchases of Capital Stock in the Parent from (i) employees and former employees and (ii) other holders of Capital Stock in the Parent;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(x) the aggregate amount of all such redemptions or repurchases or Restricted Payments to any parent entity to finance the same by the Parent made pursuant to this </w:t>
      </w:r>
      <w:r>
        <w:rPr>
          <w:rFonts w:ascii="Times New Roman" w:hAnsi="Times New Roman"/>
          <w:color w:val="000000"/>
          <w:sz w:val="22"/>
          <w:u w:val="single"/>
        </w:rPr>
        <w:t>Section 7.5(c)</w:t>
      </w:r>
      <w:r>
        <w:rPr>
          <w:color w:val="000000"/>
        </w:rPr>
        <w:t xml:space="preserve"> </w:t>
      </w:r>
      <w:r>
        <w:rPr>
          <w:rFonts w:ascii="Times New Roman" w:hAnsi="Times New Roman"/>
          <w:color w:val="000000"/>
          <w:sz w:val="22"/>
        </w:rPr>
        <w:t>in any Fiscal Year shall not exceed $2,000,000 and (y) after giving effect to any such redemption or repurchase on a Pro Forma Basis, no Event of Default shall exist;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so long as no Event of Default has occurred and is continuing or would result therefrom, Restricted Payments in an aggregate amount in any Fiscal Year not to exceed the greater of (i) $6,000,000 and (ii) ten percent (10.0%)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Permitted Tax Distributions;</w:t>
      </w:r>
    </w:p>
    <w:p>
      <w:pPr>
        <w:pStyle w:val="TextBody"/>
        <w:bidi w:val="0"/>
        <w:jc w:val="center"/>
        <w:rPr>
          <w:rFonts w:ascii="Times New Roman" w:hAnsi="Times New Roman"/>
          <w:color w:val="000000"/>
          <w:sz w:val="22"/>
        </w:rPr>
      </w:pPr>
      <w:r>
        <w:rPr>
          <w:rFonts w:ascii="Times New Roman" w:hAnsi="Times New Roman"/>
          <w:color w:val="000000"/>
          <w:sz w:val="22"/>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payments of withholding or similar Taxes payable by any future, present or former employee, director or officer (or any spouses, former spouses, successors, executors, administrators, heirs, legatees or distributees of any of the foregoing) in connection with any repurchases of Capital Stock in Holdings or the exercise of stock options in respect of Capital Stock in Holdings;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so long as no Event of Default shall have occurred and be continuing or would result therefrom, Restricted Payments in order to pay the reasonable fees and reimbursement of out-of-pocket expenses to directors, managers, members and officers in an aggregate amount not to exceed $1,000,000 in any Fiscal Year,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Restricted Payments in order to pay compensation (including bonuses and equity or other consideration) and employee benefit arrangements paid to, indemnities provided for the benefit of, and employment and severance arrangements entered into with, directors, officers, managers, members or employees in the ordinary course of business; and</w:t>
      </w:r>
      <w:bookmarkStart w:id="437" w:name="xk__other_restricted_payments_not_otherw"/>
      <w:bookmarkEnd w:id="437"/>
      <w:r>
        <w:rPr>
          <w:color w:val="000000"/>
        </w:rPr>
        <w:t xml:space="preserve"> </w:t>
      </w:r>
      <w:r>
        <w:rPr>
          <w:rFonts w:ascii="Times New Roman" w:hAnsi="Times New Roman"/>
          <w:color w:val="000000"/>
          <w:sz w:val="22"/>
        </w:rPr>
        <w:t xml:space="preserve">other Restricted Payments not otherwise permitted by this </w:t>
      </w:r>
      <w:r>
        <w:rPr>
          <w:rFonts w:ascii="Times New Roman" w:hAnsi="Times New Roman"/>
          <w:color w:val="000000"/>
          <w:sz w:val="22"/>
          <w:u w:val="single"/>
        </w:rPr>
        <w:t>Section 7.5</w:t>
      </w:r>
      <w:r>
        <w:rPr>
          <w:rFonts w:ascii="Times New Roman" w:hAnsi="Times New Roman"/>
          <w:color w:val="000000"/>
          <w:sz w:val="22"/>
        </w:rPr>
        <w:t xml:space="preserve">, so long as (i) after giving effect to such Restricted Payment on a Pro Forma Basis, no Event of Default shall exist immediately before or immediately after giving effect to any such Restricted Payment, (ii) the Borrower is in compliance with the financial covenants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hereof on a Pro Forma Basis after giving effect thereto (including any assumption of Indebtedness in connection therewith) and (iii) the Consolidated Total Net Leverage Ratio shall not exceed 2.00 to 1.00 on a Pro Forma Basis after giving effect to such Restricted Payment (including any assumption of Indebtedness in connection therewith).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7.6 </w:t>
      </w:r>
      <w:r>
        <w:rPr>
          <w:rFonts w:ascii="Times New Roman" w:hAnsi="Times New Roman"/>
          <w:color w:val="000000"/>
          <w:sz w:val="22"/>
          <w:u w:val="single"/>
        </w:rPr>
        <w:t>Sale of Assets</w:t>
      </w:r>
      <w:r>
        <w:rPr>
          <w:rFonts w:ascii="Times New Roman" w:hAnsi="Times New Roman"/>
          <w:color w:val="000000"/>
          <w:sz w:val="22"/>
        </w:rPr>
        <w:t>. Make any Asset Sale, except for: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property to the extent that (i) such property is exchanged for credit against the purchase price of similar replacement property or (ii) an amount equal to the Net Cash Proceeds of such disposition are promptly applied to the purchase price of such replacement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Liens permitted by </w:t>
      </w:r>
      <w:r>
        <w:rPr>
          <w:rFonts w:ascii="Times New Roman" w:hAnsi="Times New Roman"/>
          <w:color w:val="000000"/>
          <w:sz w:val="22"/>
          <w:u w:val="single"/>
        </w:rPr>
        <w:t>Section 7.2</w:t>
      </w:r>
      <w:r>
        <w:rPr>
          <w:color w:val="000000"/>
        </w:rPr>
        <w:t xml:space="preserve"> </w:t>
      </w:r>
      <w:r>
        <w:rPr>
          <w:rFonts w:ascii="Times New Roman" w:hAnsi="Times New Roman"/>
          <w:color w:val="000000"/>
          <w:sz w:val="22"/>
        </w:rPr>
        <w:t xml:space="preserve">and issuances of Capital Stock permitted by </w:t>
      </w:r>
      <w:r>
        <w:rPr>
          <w:rFonts w:ascii="Times New Roman" w:hAnsi="Times New Roman"/>
          <w:color w:val="000000"/>
          <w:sz w:val="22"/>
          <w:u w:val="single"/>
        </w:rPr>
        <w:t>Sections 7.8</w:t>
      </w:r>
      <w:r>
        <w:rPr>
          <w:rFonts w:ascii="Times New Roman" w:hAnsi="Times New Roman"/>
          <w:color w:val="000000"/>
          <w:sz w:val="22"/>
        </w:rPr>
        <w:t xml:space="preserve">, in each case, other than by reference to this </w:t>
      </w:r>
      <w:r>
        <w:rPr>
          <w:rFonts w:ascii="Times New Roman" w:hAnsi="Times New Roman"/>
          <w:color w:val="000000"/>
          <w:sz w:val="22"/>
          <w:u w:val="single"/>
        </w:rPr>
        <w:t>Section 7.6(b)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dispositions of property to Persons other than Subsidiaries (including (x) the sale or issuance of Capital Stock in a Subsidiary and (y) any sale and leaseback) not otherwise permitted under this </w:t>
      </w:r>
      <w:r>
        <w:rPr>
          <w:rFonts w:ascii="Times New Roman" w:hAnsi="Times New Roman"/>
          <w:color w:val="000000"/>
          <w:sz w:val="22"/>
          <w:u w:val="single"/>
        </w:rPr>
        <w:t>Section 7.6</w:t>
      </w:r>
      <w:r>
        <w:rPr>
          <w:color w:val="000000"/>
        </w:rPr>
        <w:t xml:space="preserve"> </w:t>
      </w:r>
      <w:r>
        <w:rPr>
          <w:rFonts w:ascii="Times New Roman" w:hAnsi="Times New Roman"/>
          <w:color w:val="000000"/>
          <w:sz w:val="22"/>
        </w:rPr>
        <w:t xml:space="preserve">in an aggregate amount not to exceed $5,000,000 in any Fiscal Year, subject to the following: (i) such disposition is made for fair market value and (ii) with respect to any disposition pursuant to this </w:t>
      </w:r>
      <w:r>
        <w:rPr>
          <w:rFonts w:ascii="Times New Roman" w:hAnsi="Times New Roman"/>
          <w:color w:val="000000"/>
          <w:sz w:val="22"/>
          <w:u w:val="single"/>
        </w:rPr>
        <w:t>Section 7.6(c)</w:t>
      </w:r>
      <w:r>
        <w:rPr>
          <w:color w:val="000000"/>
        </w:rPr>
        <w:t xml:space="preserve"> </w:t>
      </w:r>
      <w:r>
        <w:rPr>
          <w:rFonts w:ascii="Times New Roman" w:hAnsi="Times New Roman"/>
          <w:color w:val="000000"/>
          <w:sz w:val="22"/>
        </w:rPr>
        <w:t>for a purchase price in excess of $2,500,000 for any transaction or series of related transactions, not less than seventy-five percent (75.0%) of such consideration shall be in the form of cash or Cash Equivalents;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dispositions of any assets (including Capital Stock) (i) acquired in connection with any Permitted Acquisition or other Investment permitted hereunder, which assets are not used or useful to the core or principal business of Holdings, the Borrower and their respective Subsidiaries </w:t>
      </w:r>
    </w:p>
    <w:p>
      <w:pPr>
        <w:pStyle w:val="TextBody"/>
        <w:bidi w:val="0"/>
        <w:jc w:val="center"/>
        <w:rPr>
          <w:rFonts w:ascii="Times New Roman" w:hAnsi="Times New Roman"/>
          <w:color w:val="000000"/>
          <w:sz w:val="22"/>
        </w:rPr>
      </w:pPr>
      <w:r>
        <w:rPr>
          <w:rFonts w:ascii="Times New Roman" w:hAnsi="Times New Roman"/>
          <w:color w:val="000000"/>
          <w:sz w:val="22"/>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(ii) made to obtain the approval of any applicable antitrust authority in connection with a Permitted Acquisition;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38" w:name="section_7_7_transactions_with_affiliates"/>
      <w:bookmarkEnd w:id="438"/>
      <w:r>
        <w:rPr>
          <w:rFonts w:ascii="Times New Roman" w:hAnsi="Times New Roman"/>
          <w:color w:val="000000"/>
          <w:sz w:val="22"/>
        </w:rPr>
        <w:t xml:space="preserve">Section 7.7 </w:t>
      </w:r>
      <w:r>
        <w:rPr>
          <w:rFonts w:ascii="Times New Roman" w:hAnsi="Times New Roman"/>
          <w:color w:val="000000"/>
          <w:sz w:val="22"/>
          <w:u w:val="single"/>
        </w:rPr>
        <w:t>Transactions with Affiliates</w:t>
      </w:r>
      <w:r>
        <w:rPr>
          <w:rFonts w:ascii="Times New Roman" w:hAnsi="Times New Roman"/>
          <w:color w:val="000000"/>
          <w:sz w:val="22"/>
        </w:rPr>
        <w:t xml:space="preserve">. Sell, lease or otherwise transfer any property or assets to, or purchase, lease or otherwise acquire any property or assets from, or otherwise engage in any other transactions with, any of its Affiliates with a fair market value in excess of the greater of (i) $3,000,000 and (ii) five percent (5.0%) of Consolidated EBITDA for the most recently ended four (4) Fiscal Quarter period for which financial statements have been delivered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0"/>
        </w:rPr>
        <w:t xml:space="preserve"> </w:t>
      </w:r>
      <w:r>
        <w:rPr>
          <w:rFonts w:ascii="Times New Roman" w:hAnsi="Times New Roman"/>
          <w:color w:val="000000"/>
          <w:sz w:val="22"/>
        </w:rPr>
        <w:t xml:space="preserve">for any transaction or series of related transactions, except (a) transactions between or among Holdings and/or one or more of its Subsidiaries (or an entity that will become a Subsidiary as a result of such transaction), (b) any agreement in effect on the Closing Date and set forth on </w:t>
      </w:r>
      <w:r>
        <w:rPr>
          <w:rFonts w:ascii="Times New Roman" w:hAnsi="Times New Roman"/>
          <w:color w:val="000000"/>
          <w:sz w:val="22"/>
          <w:u w:val="single"/>
        </w:rPr>
        <w:t>Schedule 7.7</w:t>
      </w:r>
      <w:r>
        <w:rPr>
          <w:rFonts w:ascii="Times New Roman" w:hAnsi="Times New Roman"/>
          <w:color w:val="000000"/>
          <w:sz w:val="20"/>
        </w:rPr>
        <w:t xml:space="preserve"> </w:t>
      </w:r>
      <w:r>
        <w:rPr>
          <w:rFonts w:ascii="Times New Roman" w:hAnsi="Times New Roman"/>
          <w:color w:val="000000"/>
          <w:sz w:val="22"/>
        </w:rPr>
        <w:t xml:space="preserve">or as thereafter amended in a manner which, taken as a whole, is not materially less favorable to Holdings or such Subsidiary than the original agreement as in effect on the Closing Date, (c) any employment, consulting, compensation, benefit or indemnity agreements, arrangements or plans in respect of any officer, director, employee or consultant of Holdings or any of its Subsidiaries entered into in the ordinary course of business, (d) any transaction permitted under </w:t>
      </w:r>
      <w:r>
        <w:rPr>
          <w:rFonts w:ascii="Times New Roman" w:hAnsi="Times New Roman"/>
          <w:color w:val="000000"/>
          <w:sz w:val="22"/>
          <w:u w:val="single"/>
        </w:rPr>
        <w:t>Section 7.4</w:t>
      </w:r>
      <w:r>
        <w:rPr>
          <w:rFonts w:ascii="Times New Roman" w:hAnsi="Times New Roman"/>
          <w:color w:val="000000"/>
          <w:sz w:val="22"/>
        </w:rPr>
        <w:t xml:space="preserve">, (e) transactions between Holdings and any of its Subsidiaries on the one hand and any Person that is not Holdings or a Subsidiary on the other hand; </w:t>
      </w:r>
      <w:r>
        <w:rPr>
          <w:rFonts w:ascii="Times New Roman" w:hAnsi="Times New Roman"/>
          <w:color w:val="000000"/>
          <w:sz w:val="22"/>
          <w:u w:val="single"/>
        </w:rPr>
        <w:t>provided</w:t>
      </w:r>
      <w:r>
        <w:rPr>
          <w:rFonts w:ascii="Times New Roman" w:hAnsi="Times New Roman"/>
          <w:color w:val="000000"/>
          <w:sz w:val="22"/>
        </w:rPr>
        <w:t xml:space="preserve">, in each case, that such transaction (i) is on terms that are no less favorable to Holdings or the relevant Subsidiary than those that would reasonably be expected to have been obtained in a comparable arm’s-length transaction by Holdings or such Subsidiary with an unrelated Person and (ii) is not otherwise in violation of this Agreement and (f) Restricted Payments that are permitted under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7.5</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439" w:name="section_7_8_restrictive_agreements___ent"/>
      <w:bookmarkEnd w:id="439"/>
      <w:r>
        <w:rPr>
          <w:rFonts w:ascii="Times New Roman" w:hAnsi="Times New Roman"/>
          <w:color w:val="000000"/>
          <w:sz w:val="22"/>
        </w:rPr>
        <w:t xml:space="preserve">Section 7.8 </w:t>
      </w:r>
      <w:r>
        <w:rPr>
          <w:rFonts w:ascii="Times New Roman" w:hAnsi="Times New Roman"/>
          <w:color w:val="000000"/>
          <w:sz w:val="22"/>
          <w:u w:val="single"/>
        </w:rPr>
        <w:t>Restrictive Agreements</w:t>
      </w:r>
      <w:r>
        <w:rPr>
          <w:rFonts w:ascii="Times New Roman" w:hAnsi="Times New Roman"/>
          <w:color w:val="000000"/>
          <w:sz w:val="22"/>
        </w:rPr>
        <w:t xml:space="preserve">. Enter into, incur or permit to exist any agreement that prohibits, restricts or imposes any condition upon (a) the ability of Holdings or any of its Subsidiaries to create, incur or permit any Lien upon any of its assets or properties, whether now owned or hereafter acquired or (b) the ability of Holdings or any Subsidiary to pay dividends or other distributions with respect to its Capital Stock, to make or repay loans or advances to Holdings or any other Subsidiary, to Guarantee Indebtedness of Holdings or any other Subsidiary or to transfer any of its property or assets to Holdings or any of its Subsidiaries; </w:t>
      </w:r>
      <w:r>
        <w:rPr>
          <w:rFonts w:ascii="Times New Roman" w:hAnsi="Times New Roman"/>
          <w:color w:val="000000"/>
          <w:sz w:val="22"/>
          <w:u w:val="single"/>
        </w:rPr>
        <w:t>provided</w:t>
      </w:r>
      <w:r>
        <w:rPr>
          <w:rFonts w:ascii="Times New Roman" w:hAnsi="Times New Roman"/>
          <w:color w:val="000000"/>
          <w:sz w:val="22"/>
        </w:rPr>
        <w:t xml:space="preserve">, that (i) the foregoing shall not apply to restrictions or conditions imposed by Law or by this Agreement or any other Loan Document, (ii) the foregoing shall not apply to restrictions or conditions imposed by Subordinated Debt Documents or any other agreement evidencing Permitted Subordinated Indebtedness; provided that no such restrictions shall prevent the Borrower or any such Subsidiary of Holdings from creating, incurring or permitting Liens securing, or to Guarantee, the Obligations, (iii) the foregoing shall not apply to customary restrictions and conditions contained in agreements relating to the sale of a Subsidiary pending such sale;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such restrictions and conditions apply only to the Subsidiary that is sold and such sale is permitted hereunder, (iv)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shall not apply to restrictions or conditions imposed by any agreement relating to secured Indebtedness or Capital Lease Obligations permitted by this Agreement so long as such restrictions and conditions apply only to the property or assets securing such Indebtedness, (v)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shall not apply to customary provision in leases and other contracts restricting the assignment thereof, (vi) the foregoing shall not apply to any restrictions on cash or other deposits imposed by agreements entered into in the ordinary course of business; (vii) the foregoing shall not apply to any restrictions regarding licensing or sublicensing by Holdings and its Subsidiaries of IP Rights in the ordinary course of business; (viii) the foregoing shall not apply to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restrictions that arise in connection with cash escrow or other deposits permitted under </w:t>
      </w:r>
      <w:r>
        <w:rPr>
          <w:rFonts w:ascii="Times New Roman" w:hAnsi="Times New Roman"/>
          <w:color w:val="000000"/>
          <w:sz w:val="22"/>
          <w:u w:val="single"/>
        </w:rPr>
        <w:t>Section 7.2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7.4</w:t>
      </w:r>
      <w:r>
        <w:rPr>
          <w:rFonts w:ascii="Times New Roman" w:hAnsi="Times New Roman"/>
          <w:color w:val="000000"/>
          <w:sz w:val="22"/>
        </w:rPr>
        <w:t>; (ix) the foregoing shall not apply to restrictions on cash or other deposits imposed by customers under contracts entered into in the ordinary course of business and (x) the foregoing shall not apply to restrictions on any Foreign Subsidiary by the terms of any Indebtedness of such Foreign Subsidiary that is not a Loan Party permitted to be incurred under this Agreement if such limitations only apply to the assets or property of such Foreign Subsidiary that is not a Loan Party.</w:t>
      </w:r>
    </w:p>
    <w:p>
      <w:pPr>
        <w:pStyle w:val="TextBody"/>
        <w:bidi w:val="0"/>
        <w:spacing w:before="240" w:after="283"/>
        <w:jc w:val="both"/>
        <w:rPr>
          <w:rFonts w:ascii="Times New Roman" w:hAnsi="Times New Roman"/>
          <w:sz w:val="20"/>
        </w:rPr>
      </w:pPr>
      <w:bookmarkStart w:id="440" w:name="section_7_9_sale_and_leaseback_transacti"/>
      <w:bookmarkEnd w:id="440"/>
      <w:r>
        <w:rPr>
          <w:rFonts w:ascii="Times New Roman" w:hAnsi="Times New Roman"/>
          <w:color w:val="000000"/>
          <w:sz w:val="22"/>
        </w:rPr>
        <w:t xml:space="preserve">Section 7.9 </w:t>
      </w:r>
      <w:r>
        <w:rPr>
          <w:rFonts w:ascii="Times New Roman" w:hAnsi="Times New Roman"/>
          <w:color w:val="000000"/>
          <w:sz w:val="22"/>
          <w:u w:val="single"/>
        </w:rPr>
        <w:t>Sale and Leaseback Transactions</w:t>
      </w:r>
      <w:r>
        <w:rPr>
          <w:rFonts w:ascii="Times New Roman" w:hAnsi="Times New Roman"/>
          <w:color w:val="000000"/>
          <w:sz w:val="22"/>
        </w:rPr>
        <w:t>.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w:t>
      </w:r>
      <w:r>
        <w:rPr>
          <w:rFonts w:ascii="Times New Roman" w:hAnsi="Times New Roman"/>
          <w:b/>
          <w:color w:val="000000"/>
          <w:sz w:val="22"/>
        </w:rPr>
        <w:t>.</w:t>
      </w:r>
    </w:p>
    <w:p>
      <w:pPr>
        <w:pStyle w:val="TextBody"/>
        <w:bidi w:val="0"/>
        <w:spacing w:before="240" w:after="283"/>
        <w:jc w:val="both"/>
        <w:rPr>
          <w:rFonts w:ascii="Times New Roman" w:hAnsi="Times New Roman"/>
          <w:sz w:val="20"/>
        </w:rPr>
      </w:pPr>
      <w:bookmarkStart w:id="441" w:name="section_7_10_hedging_transactions___ente"/>
      <w:bookmarkEnd w:id="441"/>
      <w:r>
        <w:rPr>
          <w:rFonts w:ascii="Times New Roman" w:hAnsi="Times New Roman"/>
          <w:color w:val="000000"/>
          <w:sz w:val="22"/>
        </w:rPr>
        <w:t xml:space="preserve">Section 7.10 </w:t>
      </w:r>
      <w:r>
        <w:rPr>
          <w:rFonts w:ascii="Times New Roman" w:hAnsi="Times New Roman"/>
          <w:color w:val="000000"/>
          <w:sz w:val="22"/>
          <w:u w:val="single"/>
        </w:rPr>
        <w:t>Hedging Transactions</w:t>
      </w:r>
      <w:r>
        <w:rPr>
          <w:rFonts w:ascii="Times New Roman" w:hAnsi="Times New Roman"/>
          <w:color w:val="000000"/>
          <w:sz w:val="22"/>
        </w:rPr>
        <w:t>. Enter into any Hedging Transaction, other than Hedging Transactions entered into in the ordinary course of business to hedge or mitigate risks to which Holdings, the Borrower or any of their respective Subsidiaries is exposed in the conduct of its business or the management of its liabilities.</w:t>
      </w:r>
    </w:p>
    <w:p>
      <w:pPr>
        <w:pStyle w:val="TextBody"/>
        <w:bidi w:val="0"/>
        <w:spacing w:before="240" w:after="283"/>
        <w:jc w:val="both"/>
        <w:rPr>
          <w:rFonts w:ascii="Times New Roman" w:hAnsi="Times New Roman"/>
          <w:sz w:val="20"/>
        </w:rPr>
      </w:pPr>
      <w:bookmarkStart w:id="442" w:name="section_7_11_legal_name__state_of_format"/>
      <w:bookmarkEnd w:id="442"/>
      <w:r>
        <w:rPr>
          <w:rFonts w:ascii="Times New Roman" w:hAnsi="Times New Roman"/>
          <w:color w:val="000000"/>
          <w:sz w:val="22"/>
        </w:rPr>
        <w:t xml:space="preserve">Section 7.11 </w:t>
      </w:r>
      <w:r>
        <w:rPr>
          <w:rFonts w:ascii="Times New Roman" w:hAnsi="Times New Roman"/>
          <w:color w:val="000000"/>
          <w:sz w:val="22"/>
          <w:u w:val="single"/>
        </w:rPr>
        <w:t>Legal Name, State of Formation and Form of Entity</w:t>
      </w:r>
      <w:r>
        <w:rPr>
          <w:rFonts w:ascii="Times New Roman" w:hAnsi="Times New Roman"/>
          <w:color w:val="000000"/>
          <w:sz w:val="22"/>
        </w:rPr>
        <w:t>. No Loan Party shall, without providing ten (10) days prior written notice to the Administrative Agent (or such lesser period as the Administrative Agent may agree), change its name, state of formation or form of organization.</w:t>
      </w:r>
    </w:p>
    <w:p>
      <w:pPr>
        <w:pStyle w:val="TextBody"/>
        <w:bidi w:val="0"/>
        <w:spacing w:before="240" w:after="283"/>
        <w:jc w:val="both"/>
        <w:rPr>
          <w:rFonts w:ascii="Times New Roman" w:hAnsi="Times New Roman"/>
          <w:sz w:val="20"/>
        </w:rPr>
      </w:pPr>
      <w:bookmarkStart w:id="443" w:name="section_7_12_amendment_to_organization_d"/>
      <w:bookmarkEnd w:id="443"/>
      <w:r>
        <w:rPr>
          <w:rFonts w:ascii="Times New Roman" w:hAnsi="Times New Roman"/>
          <w:color w:val="000000"/>
          <w:sz w:val="22"/>
        </w:rPr>
        <w:t xml:space="preserve">Section 7.12 </w:t>
      </w:r>
      <w:r>
        <w:rPr>
          <w:rFonts w:ascii="Times New Roman" w:hAnsi="Times New Roman"/>
          <w:color w:val="000000"/>
          <w:sz w:val="22"/>
          <w:u w:val="single"/>
        </w:rPr>
        <w:t>Amendment to Organization Documents</w:t>
      </w:r>
      <w:r>
        <w:rPr>
          <w:rFonts w:ascii="Times New Roman" w:hAnsi="Times New Roman"/>
          <w:color w:val="000000"/>
          <w:sz w:val="22"/>
        </w:rPr>
        <w:t>. Amend, modify or waive any of its rights in a manner materially adverse to the Lenders or any Loan Party under its Organization Documents, except in any manner that would not have an adverse effect on the Lenders, the Administrative Agent, Holdings or any of its Subsidiaries.</w:t>
      </w:r>
    </w:p>
    <w:p>
      <w:pPr>
        <w:pStyle w:val="TextBody"/>
        <w:bidi w:val="0"/>
        <w:spacing w:before="240" w:after="283"/>
        <w:jc w:val="both"/>
        <w:rPr>
          <w:rFonts w:ascii="Times New Roman" w:hAnsi="Times New Roman"/>
          <w:sz w:val="20"/>
        </w:rPr>
      </w:pPr>
      <w:bookmarkStart w:id="444" w:name="section_7_13_restricted_debt_payments_"/>
      <w:bookmarkEnd w:id="444"/>
      <w:r>
        <w:rPr>
          <w:rFonts w:ascii="Times New Roman" w:hAnsi="Times New Roman"/>
          <w:color w:val="000000"/>
          <w:sz w:val="22"/>
        </w:rPr>
        <w:t xml:space="preserve">Section 7.13 </w:t>
      </w:r>
      <w:r>
        <w:rPr>
          <w:rFonts w:ascii="Times New Roman" w:hAnsi="Times New Roman"/>
          <w:color w:val="000000"/>
          <w:sz w:val="22"/>
          <w:u w:val="single"/>
        </w:rPr>
        <w:t>Restricted Debt Payments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Pay, prepay, redeem, purchase, defease, or otherwise satisfy, in any manner, any Restricted Debt (“</w:t>
      </w:r>
      <w:r>
        <w:rPr>
          <w:rFonts w:ascii="Times New Roman" w:hAnsi="Times New Roman"/>
          <w:color w:val="000000"/>
          <w:sz w:val="22"/>
          <w:u w:val="single"/>
        </w:rPr>
        <w:t>Restricted Debt Payments</w:t>
      </w:r>
      <w:r>
        <w:rPr>
          <w:color w:val="000000"/>
        </w:rPr>
        <w:t>”</w:t>
      </w:r>
      <w:r>
        <w:rPr>
          <w:rFonts w:ascii="Times New Roman" w:hAnsi="Times New Roman"/>
          <w:color w:val="000000"/>
          <w:sz w:val="22"/>
        </w:rPr>
        <w:t xml:space="preserve">), except for: (i) Restricted Debt Payments with respect to Restricted Debt of any Subsidiary that is not a Loan Party to any Loan Party or any other Subsidiary; (ii) Restricted Debt Payments with respect to Restricted Debt of any Loan Party to any other Loan Party; (iii) Restricted Debt Payments consisting of regularly scheduled payments of principal required to be made under the applicable Restricted Debt (other than Restricted Debt consisting of Permitted Subordinated Indebtedness); (iv) Restricted Debt Payments that constitute refinancings of Indebtedness to the extent permitted by </w:t>
      </w:r>
      <w:r>
        <w:rPr>
          <w:rFonts w:ascii="Times New Roman" w:hAnsi="Times New Roman"/>
          <w:color w:val="000000"/>
          <w:sz w:val="22"/>
          <w:u w:val="single"/>
        </w:rPr>
        <w:t>Section 7.1</w:t>
      </w:r>
      <w:r>
        <w:rPr>
          <w:rFonts w:ascii="Times New Roman" w:hAnsi="Times New Roman"/>
          <w:color w:val="000000"/>
          <w:sz w:val="22"/>
        </w:rPr>
        <w:t xml:space="preserve">; and (v) other Restricted Debt Payments so long as (A) no Event of Default shall exist immediately before or immediately after giving effect to any such Restricted Debt Payment, (B) the Borrower is in compliance with the financial covenants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hereof on a Pro Forma Basis after giving effect thereto and (C) the Consolidated Total Net Leverage Ratio shall not exceed 2.00 to 1.00 on a Pro Forma Basis after giving effect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amend, modify or change, in any manner materially adverse to the interests of the Lenders, any term or condition of any Restricted Debt, except to the extent expressly permitted pursuant to specified exceptions to restrictions set forth in the applicable intercreditor and/or subordination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45" w:name="section_7_14_accounting_changes__change_"/>
      <w:bookmarkEnd w:id="445"/>
      <w:r>
        <w:rPr>
          <w:rFonts w:ascii="Times New Roman" w:hAnsi="Times New Roman"/>
          <w:color w:val="000000"/>
          <w:sz w:val="22"/>
        </w:rPr>
        <w:t xml:space="preserve">Section 7.14 </w:t>
      </w:r>
      <w:r>
        <w:rPr>
          <w:rFonts w:ascii="Times New Roman" w:hAnsi="Times New Roman"/>
          <w:color w:val="000000"/>
          <w:sz w:val="22"/>
          <w:u w:val="single"/>
        </w:rPr>
        <w:t>Accounting Changes; Change in Fiscal Year</w:t>
      </w:r>
      <w:r>
        <w:rPr>
          <w:rFonts w:ascii="Times New Roman" w:hAnsi="Times New Roman"/>
          <w:color w:val="000000"/>
          <w:sz w:val="22"/>
        </w:rPr>
        <w:t>. Make any significant change in accounting treatment or reporting practices, except as required by GAAP, or change the Fiscal Year of Holdings or of any of its Subsidiaries, except to change the fiscal year of a Subsidiary to conform its fiscal year to that of Holdings.</w:t>
      </w:r>
    </w:p>
    <w:p>
      <w:pPr>
        <w:pStyle w:val="TextBody"/>
        <w:bidi w:val="0"/>
        <w:jc w:val="center"/>
        <w:rPr>
          <w:rFonts w:ascii="Times New Roman" w:hAnsi="Times New Roman"/>
          <w:color w:val="000000"/>
          <w:sz w:val="22"/>
        </w:rPr>
      </w:pPr>
      <w:r>
        <w:rPr>
          <w:rFonts w:ascii="Times New Roman" w:hAnsi="Times New Roman"/>
          <w:color w:val="000000"/>
          <w:sz w:val="22"/>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46" w:name="section_7_15_government_regulation____a_"/>
      <w:bookmarkEnd w:id="446"/>
      <w:r>
        <w:rPr>
          <w:rFonts w:ascii="Times New Roman" w:hAnsi="Times New Roman"/>
          <w:color w:val="000000"/>
          <w:sz w:val="22"/>
        </w:rPr>
        <w:t xml:space="preserve">Section 7.15 </w:t>
      </w:r>
      <w:r>
        <w:rPr>
          <w:rFonts w:ascii="Times New Roman" w:hAnsi="Times New Roman"/>
          <w:color w:val="000000"/>
          <w:sz w:val="22"/>
          <w:u w:val="single"/>
        </w:rPr>
        <w:t>Government Regulation</w:t>
      </w:r>
      <w:r>
        <w:rPr>
          <w:rFonts w:ascii="Times New Roman" w:hAnsi="Times New Roman"/>
          <w:color w:val="000000"/>
          <w:sz w:val="22"/>
        </w:rPr>
        <w:t>. (a) Be or become subject at any time to any law, regulation or list of any Governmental Authority of the United States (including, without limitation, the OFAC list) that prohibits or limits the Lenders or the Administrative Agent from making any advance or extension of credit to the Borrower or from otherwise conducting business with the Loan Parties, or (b) fail to provide documentary and other evidence of the identity of the Loan Parties as may be requested by the Lenders or the Administrative Agent at any time to enable the Lenders or the Administrative Agent to verify the identity of the Loan Parties or to comply with any applicable Law or regulation, including, without limitation, Section 326 of the PATRIOT Act at 31 U.S.C. Section 5318.</w:t>
      </w:r>
    </w:p>
    <w:p>
      <w:pPr>
        <w:pStyle w:val="TextBody"/>
        <w:bidi w:val="0"/>
        <w:spacing w:before="240" w:after="283"/>
        <w:jc w:val="both"/>
        <w:rPr>
          <w:rFonts w:ascii="Times New Roman" w:hAnsi="Times New Roman"/>
          <w:sz w:val="20"/>
        </w:rPr>
      </w:pPr>
      <w:bookmarkStart w:id="447" w:name="section_7_16__reserved__"/>
      <w:bookmarkEnd w:id="447"/>
      <w:r>
        <w:rPr>
          <w:rFonts w:ascii="Times New Roman" w:hAnsi="Times New Roman"/>
          <w:color w:val="000000"/>
          <w:sz w:val="22"/>
        </w:rPr>
        <w:t xml:space="preserve">Section 7.16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448" w:name="section_7_17_use_of_proceeds_"/>
      <w:bookmarkEnd w:id="448"/>
      <w:r>
        <w:rPr>
          <w:rFonts w:ascii="Times New Roman" w:hAnsi="Times New Roman"/>
          <w:color w:val="000000"/>
          <w:sz w:val="22"/>
        </w:rPr>
        <w:t xml:space="preserve">Section 7.17 </w:t>
      </w:r>
      <w:r>
        <w:rPr>
          <w:rFonts w:ascii="Times New Roman" w:hAnsi="Times New Roman"/>
          <w:color w:val="000000"/>
          <w:sz w:val="22"/>
          <w:u w:val="single"/>
        </w:rPr>
        <w:t>Use of Proceeds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Use any part of the proceeds of any Loan, whether directly or indirectly, for any purpose that would violate any rule or regulation of the Board of Governors of the Federal Reserve System, including Regulations T, U or X.</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Request any Borrowing or Letter of Credit, or use or allow its respective directors, managers, members, officers, employees and agents to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49" w:name="section_7_18_designation_as_senior_debt_"/>
      <w:bookmarkEnd w:id="449"/>
      <w:r>
        <w:rPr>
          <w:rFonts w:ascii="Times New Roman" w:hAnsi="Times New Roman"/>
          <w:color w:val="000000"/>
          <w:sz w:val="22"/>
        </w:rPr>
        <w:t xml:space="preserve">Section 7.18 </w:t>
      </w:r>
      <w:r>
        <w:rPr>
          <w:rFonts w:ascii="Times New Roman" w:hAnsi="Times New Roman"/>
          <w:color w:val="000000"/>
          <w:sz w:val="22"/>
          <w:u w:val="single"/>
        </w:rPr>
        <w:t>Designation as Senior Debt</w:t>
      </w:r>
      <w:r>
        <w:rPr>
          <w:rFonts w:ascii="Times New Roman" w:hAnsi="Times New Roman"/>
          <w:color w:val="000000"/>
          <w:sz w:val="22"/>
        </w:rPr>
        <w:t>. Designate any Indebtedness (other than Indebtedness under the Loan Documents or Credit Agreement Refinancing Indebtedness) of Holdings or any of its Subsidiaries as “Senior Debt” or “Designated Senior Debt” (or in each case any similar term) under, and as defined in, the documentation governing any Permitted Subordinated Indebtedness.</w:t>
      </w:r>
    </w:p>
    <w:p>
      <w:pPr>
        <w:pStyle w:val="TextBody"/>
        <w:bidi w:val="0"/>
        <w:spacing w:before="240" w:after="283"/>
        <w:jc w:val="both"/>
        <w:rPr>
          <w:rFonts w:ascii="Times New Roman" w:hAnsi="Times New Roman"/>
          <w:sz w:val="20"/>
        </w:rPr>
      </w:pPr>
      <w:bookmarkStart w:id="450" w:name="section_7_19_activities_of_holdings___pe"/>
      <w:bookmarkEnd w:id="450"/>
      <w:r>
        <w:rPr>
          <w:rFonts w:ascii="Times New Roman" w:hAnsi="Times New Roman"/>
          <w:color w:val="000000"/>
          <w:sz w:val="22"/>
        </w:rPr>
        <w:t xml:space="preserve">Section 7.19 </w:t>
      </w:r>
      <w:r>
        <w:rPr>
          <w:rFonts w:ascii="Times New Roman" w:hAnsi="Times New Roman"/>
          <w:color w:val="000000"/>
          <w:sz w:val="22"/>
          <w:u w:val="single"/>
        </w:rPr>
        <w:t>Activities of Holdings</w:t>
      </w:r>
      <w:r>
        <w:rPr>
          <w:rFonts w:ascii="Times New Roman" w:hAnsi="Times New Roman"/>
          <w:color w:val="000000"/>
          <w:sz w:val="22"/>
        </w:rPr>
        <w:t xml:space="preserve">. Permit Holdings to incur any Indebtedness, grant any Liens upon any of its properties or assets, or engage in any operations, business or activity other than (a) holding and maintaining its interest in and/or the acquisition of Capital Stock of, and making Investments in, the Borrower, (b) maintaining its corporate existence, including (i) participating in tax, accounting and other administrative activities for itself and/or as a member of the consolidated group of companies including Parent or any other parent entity, Holdings and its Subsidiaries, (ii) filing tax returns and reports and paying taxes and other customary obligations related thereto in the ordinary course (and contesting any taxes in good faith, if applicable), (iii) holding director, member and/or manager meetings, preparing organizational records and other organizational activities required to maintain its separate organizational structure (including the maintenance of its legal existence, including the ability to incur fees, costs and expenses relating to such maintenance) and (iv) complying with applicable law, and activities incidental to the foregoing; (c) executing, delivering and performing its rights and obligations under this Agreement and the other Loan Documents, any Acquisition agreement to which it is a party and any other Indebtedness and Guarantees permitted hereunder (including Guarantees of any Permitted Subordinated Indebtedness and any actions in connection with the issuance of convertible notes to the extent permitted or contemplated by </w:t>
      </w:r>
      <w:r>
        <w:rPr>
          <w:rFonts w:ascii="Times New Roman" w:hAnsi="Times New Roman"/>
          <w:color w:val="000000"/>
          <w:sz w:val="22"/>
          <w:u w:val="single"/>
        </w:rPr>
        <w:t>Section 7.1</w:t>
      </w:r>
      <w:r>
        <w:rPr>
          <w:rFonts w:ascii="Times New Roman" w:hAnsi="Times New Roman"/>
          <w:color w:val="000000"/>
          <w:sz w:val="22"/>
        </w:rPr>
        <w:t>) and actions incidental thereto, including the granting of Liens permitted hereby; (d) making any Restricted Payment permitted by this Agreement and holding cash and Investments and other assets received in connection with Restricted Payments received from, or Investments made by, the Borrower or any Subsidiary of Holdings to the extent permitted hereby; (e) purchasing Capital Stock in the Borrower or Subsidiaries of Holdings; (f) owning cash and Cash Equivalents; (g) executing, delivering and the performance of rights and obligations under any employment agreements and any documents related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thereto; (h) issuances of securities or other payments, awards or grants in cash, securities or otherwise pursuant to, or the maintenance, administration or funding of, employment agreements, employee stock options and employee stock ownership plans; (i) activities related to the Transactions; (j) providing indemnification for its current and former officers, directors, managers, members, employees, advisors, consultants or independent contracts; and (k) any activities incidental to the foregoing.</w:t>
      </w:r>
    </w:p>
    <w:p>
      <w:pPr>
        <w:pStyle w:val="TextBody"/>
        <w:bidi w:val="0"/>
        <w:spacing w:before="240" w:after="283"/>
        <w:jc w:val="both"/>
        <w:rPr>
          <w:rFonts w:ascii="Times New Roman" w:hAnsi="Times New Roman"/>
          <w:sz w:val="20"/>
        </w:rPr>
      </w:pPr>
      <w:bookmarkStart w:id="451" w:name="section_7_20_outbound_investment_rules__"/>
      <w:bookmarkEnd w:id="451"/>
      <w:r>
        <w:rPr>
          <w:rFonts w:ascii="Times New Roman" w:hAnsi="Times New Roman"/>
          <w:color w:val="000000"/>
          <w:sz w:val="22"/>
        </w:rPr>
        <w:t xml:space="preserve">Section 7.20 </w:t>
      </w:r>
      <w:r>
        <w:rPr>
          <w:rFonts w:ascii="Times New Roman" w:hAnsi="Times New Roman"/>
          <w:color w:val="000000"/>
          <w:sz w:val="22"/>
          <w:u w:val="single"/>
        </w:rPr>
        <w:t>Outbound Investment Rules</w:t>
      </w:r>
      <w:r>
        <w:rPr>
          <w:rFonts w:ascii="Times New Roman" w:hAnsi="Times New Roman"/>
          <w:color w:val="000000"/>
          <w:sz w:val="22"/>
        </w:rPr>
        <w:t>.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Holdings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240" w:after="283"/>
        <w:jc w:val="both"/>
        <w:rPr>
          <w:rFonts w:ascii="Times New Roman" w:hAnsi="Times New Roman"/>
          <w:sz w:val="20"/>
        </w:rPr>
      </w:pPr>
      <w:bookmarkStart w:id="452" w:name="section_7_21_transfer_of_material_ip_rig"/>
      <w:bookmarkEnd w:id="452"/>
      <w:r>
        <w:rPr>
          <w:rFonts w:ascii="Times New Roman" w:hAnsi="Times New Roman"/>
          <w:color w:val="000000"/>
          <w:sz w:val="22"/>
        </w:rPr>
        <w:t xml:space="preserve">Section 7.21 </w:t>
      </w:r>
      <w:r>
        <w:rPr>
          <w:rFonts w:ascii="Times New Roman" w:hAnsi="Times New Roman"/>
          <w:color w:val="000000"/>
          <w:sz w:val="22"/>
          <w:u w:val="single"/>
        </w:rPr>
        <w:t>Transfer of Material IP Rights to Non-Loan Parties</w:t>
      </w:r>
      <w:r>
        <w:rPr>
          <w:rFonts w:ascii="Times New Roman" w:hAnsi="Times New Roman"/>
          <w:color w:val="000000"/>
          <w:sz w:val="22"/>
        </w:rPr>
        <w:t>. Notwithstanding anything to the contrary set forth in this Agreement or any other Loan Document, consummate any transaction that results (whether by way of a Restricted Payment, Investment, Asset Sale or otherwise) in the transfer (including an exclusive license) of any IP Right that is material to the business of the Loan Parties and their Subsidiaries, taken as a whole (or the Capital Stock in any Subsidiary that owns any such IP Right), to (x) any Subsidiary that is not a Loan Party (other than any such transfer from a Subsidiary that is not a Loan Party to a Subsidiary that is not a Loan Party) or (y) any Affiliate that is not the Borrower or a Subsidiary unless, in the case of this clause (y), such transfer is made on an arm’s length basis or in connection with an exclusive license permitted under Section 7.2(t)(iii).</w:t>
      </w:r>
    </w:p>
    <w:p>
      <w:pPr>
        <w:pStyle w:val="TextBody"/>
        <w:bidi w:val="0"/>
        <w:spacing w:before="240" w:after="283"/>
        <w:jc w:val="center"/>
        <w:rPr>
          <w:rFonts w:ascii="Times New Roman" w:hAnsi="Times New Roman"/>
          <w:color w:val="000000"/>
          <w:sz w:val="22"/>
        </w:rPr>
      </w:pPr>
      <w:bookmarkStart w:id="453" w:name="article_viii___events_of_default"/>
      <w:bookmarkEnd w:id="453"/>
      <w:r>
        <w:rPr>
          <w:rFonts w:ascii="Times New Roman" w:hAnsi="Times New Roman"/>
          <w:color w:val="000000"/>
          <w:sz w:val="22"/>
        </w:rPr>
        <w:t>ARTICLE VIII</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EVENTS OF DEFAULT</w:t>
      </w:r>
    </w:p>
    <w:p>
      <w:pPr>
        <w:pStyle w:val="TextBody"/>
        <w:bidi w:val="0"/>
        <w:spacing w:before="240" w:after="283"/>
        <w:jc w:val="both"/>
        <w:rPr>
          <w:rFonts w:ascii="Times New Roman" w:hAnsi="Times New Roman"/>
          <w:sz w:val="20"/>
        </w:rPr>
      </w:pPr>
      <w:bookmarkStart w:id="454" w:name="section_8_1_events_of_default___if_any_o"/>
      <w:bookmarkEnd w:id="454"/>
      <w:r>
        <w:rPr>
          <w:rFonts w:ascii="Times New Roman" w:hAnsi="Times New Roman"/>
          <w:color w:val="000000"/>
          <w:sz w:val="22"/>
        </w:rPr>
        <w:t xml:space="preserve">Section 8.1 </w:t>
      </w:r>
      <w:r>
        <w:rPr>
          <w:rFonts w:ascii="Times New Roman" w:hAnsi="Times New Roman"/>
          <w:color w:val="000000"/>
          <w:sz w:val="22"/>
          <w:u w:val="single"/>
        </w:rPr>
        <w:t>Events of Default</w:t>
      </w:r>
      <w:r>
        <w:rPr>
          <w:rFonts w:ascii="Times New Roman" w:hAnsi="Times New Roman"/>
          <w:color w:val="000000"/>
          <w:sz w:val="22"/>
        </w:rPr>
        <w:t>. If any of the following events (each an “</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 shall occur: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Loan Party shall fail to pay any principal of any Loan or of any reimbursement obligation in respect of any LC Disbursement when and as the same shall become due and payable, whether at the due date thereof or at a date fixed for prepayment or otherwise;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Loan Party shall fail to pay any interest on any Loan or any fee or any other amount (other than an amount payable under </w:t>
      </w:r>
      <w:r>
        <w:rPr>
          <w:rFonts w:ascii="Times New Roman" w:hAnsi="Times New Roman"/>
          <w:color w:val="000000"/>
          <w:sz w:val="22"/>
          <w:u w:val="single"/>
        </w:rPr>
        <w:t>Section 8.1(a)</w:t>
      </w:r>
      <w:r>
        <w:rPr>
          <w:rFonts w:ascii="Times New Roman" w:hAnsi="Times New Roman"/>
          <w:color w:val="000000"/>
          <w:sz w:val="22"/>
        </w:rPr>
        <w:t>) payable under this Agreement or any other Loan Document, when and as the same shall become due and payable, and such failure shall continue unremedied for a period of five (5) Business Days;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representation or warranty made or deemed made by or on behalf of Holdings, the Borrower or any Subsidiary in or in connection with this Agreement or any other Loan Document (including the Schedules attached thereto) and any amendments or modifications hereof or waivers hereunder, or in any certificate, report, financial statement or other document submitted to the Administrative Agent or the Lenders by Holdings, the Borrower or any of their respective Subsidiaries or any representative of any Loan Party pursuant to or in connection with this Agreement or any other Loan Document shall prove to be incorrect in any material respect (other than a representation or warranty that is expressly qualified by a Material Adverse Effect or materiality, in which case such representation or warranty shall prove to be incorrect in all respects) when made or deemed made or submitted;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Loan Party shall fail to observe or perform any covenant or agreement contained in </w:t>
      </w:r>
      <w:r>
        <w:rPr>
          <w:rFonts w:ascii="Times New Roman" w:hAnsi="Times New Roman"/>
          <w:color w:val="000000"/>
          <w:sz w:val="22"/>
          <w:u w:val="single"/>
        </w:rPr>
        <w:t>Section 5.1</w:t>
      </w:r>
      <w:r>
        <w:rPr>
          <w:rFonts w:ascii="Times New Roman" w:hAnsi="Times New Roman"/>
          <w:color w:val="000000"/>
          <w:sz w:val="22"/>
        </w:rPr>
        <w:t xml:space="preserve">, </w:t>
      </w:r>
      <w:r>
        <w:rPr>
          <w:rFonts w:ascii="Times New Roman" w:hAnsi="Times New Roman"/>
          <w:color w:val="000000"/>
          <w:sz w:val="22"/>
          <w:u w:val="single"/>
        </w:rPr>
        <w:t>5.2</w:t>
      </w:r>
      <w:r>
        <w:rPr>
          <w:rFonts w:ascii="Times New Roman" w:hAnsi="Times New Roman"/>
          <w:color w:val="000000"/>
          <w:sz w:val="22"/>
        </w:rPr>
        <w:t xml:space="preserve">, </w:t>
      </w:r>
      <w:r>
        <w:rPr>
          <w:rFonts w:ascii="Times New Roman" w:hAnsi="Times New Roman"/>
          <w:color w:val="000000"/>
          <w:sz w:val="22"/>
          <w:u w:val="single"/>
        </w:rPr>
        <w:t>5.3(a)</w:t>
      </w:r>
      <w:r>
        <w:rPr>
          <w:rFonts w:ascii="Times New Roman" w:hAnsi="Times New Roman"/>
          <w:color w:val="000000"/>
          <w:sz w:val="22"/>
        </w:rPr>
        <w:t xml:space="preserve">, </w:t>
      </w:r>
      <w:r>
        <w:rPr>
          <w:rFonts w:ascii="Times New Roman" w:hAnsi="Times New Roman"/>
          <w:color w:val="000000"/>
          <w:sz w:val="22"/>
          <w:u w:val="single"/>
        </w:rPr>
        <w:t>5.7</w:t>
      </w:r>
      <w:r>
        <w:rPr>
          <w:rFonts w:ascii="Times New Roman" w:hAnsi="Times New Roman"/>
          <w:color w:val="000000"/>
          <w:sz w:val="22"/>
        </w:rPr>
        <w:t xml:space="preserve">, </w:t>
      </w:r>
      <w:r>
        <w:rPr>
          <w:rFonts w:ascii="Times New Roman" w:hAnsi="Times New Roman"/>
          <w:color w:val="000000"/>
          <w:sz w:val="22"/>
          <w:u w:val="single"/>
        </w:rPr>
        <w:t>5.9</w:t>
      </w:r>
      <w:r>
        <w:rPr>
          <w:rFonts w:ascii="Times New Roman" w:hAnsi="Times New Roman"/>
          <w:color w:val="000000"/>
          <w:sz w:val="22"/>
        </w:rPr>
        <w:t xml:space="preserve">, </w:t>
      </w:r>
      <w:r>
        <w:rPr>
          <w:rFonts w:ascii="Times New Roman" w:hAnsi="Times New Roman"/>
          <w:color w:val="000000"/>
          <w:sz w:val="22"/>
          <w:u w:val="single"/>
        </w:rPr>
        <w:t>5.10</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Articles VI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VII</w:t>
      </w:r>
      <w:r>
        <w:rPr>
          <w:rFonts w:ascii="Times New Roman" w:hAnsi="Times New Roman"/>
          <w:color w:val="000000"/>
          <w:sz w:val="22"/>
        </w:rPr>
        <w: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Loan Party shall fail to observe or perform any covenant or agreement contained in this Agreement (other than those referred to in </w:t>
      </w:r>
      <w:r>
        <w:rPr>
          <w:rFonts w:ascii="Times New Roman" w:hAnsi="Times New Roman"/>
          <w:color w:val="000000"/>
          <w:sz w:val="22"/>
          <w:u w:val="single"/>
        </w:rPr>
        <w:t>Sections 8.1(a)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rFonts w:ascii="Times New Roman" w:hAnsi="Times New Roman"/>
          <w:color w:val="000000"/>
          <w:sz w:val="22"/>
        </w:rPr>
        <w:t>) or any other Loan Document, and such failure shall remain unremedied for thirty (30) days after the earlier of (i) any Responsible Officer becomes aware of such failure, or (ii) notice thereof shall have been given to any Loan Party by the Administrative Agent or any Lender;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 Holdings, the Borrower or any Subsidiary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expiration of any applicable grace period specified in the agreement or instrument evidencing or governing such Material Indebtedness; or (ii) any other event shall occur or condition shall exist under any agreement or instrument relating to such Material Indebtedness and shall continue after the expiration of any applicable grace period specified in such agreement or instrument, if the effect of such event or condition is to accelerate, or permit the acceleration of, the maturity of such Material Indebtedness; or (iii) any such Material Indebtedness shall be declared to be due and payable, or required to be prepaid or redeemed (other than by a regularly scheduled required prepayment or redemption), purchased or defeased, or any offer to prepay, redeem, purchase or defease such Material Indebtedness shall be required to be made, in each case prior to the stated maturity thereof; </w:t>
      </w:r>
      <w:r>
        <w:rPr>
          <w:rFonts w:ascii="Times New Roman" w:hAnsi="Times New Roman"/>
          <w:color w:val="000000"/>
          <w:sz w:val="22"/>
          <w:u w:val="single"/>
        </w:rPr>
        <w:t>provided</w:t>
      </w:r>
      <w:r>
        <w:rPr>
          <w:rFonts w:ascii="Times New Roman" w:hAnsi="Times New Roman"/>
          <w:color w:val="000000"/>
          <w:sz w:val="22"/>
        </w:rPr>
        <w:t xml:space="preserve">, that clause (iii) of this paragraph (f) shall not apply to (x)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(y) any redemption, repurchase, conversion, exchange or settlement with respect to any convertible note pursuant to its terms (or the occurrence of any event that permits the foregoing) unless such redemption, repurchase, conversion, exchange or settlement results from a default thereunder or an event of the type that constitutes an Event of Default or (z) any early payment requirement or unwinding or termination with respect to hedging agreement as to which a Loan Party or any Subsidiary thereof is an affected party (other than a termination event or similar event arising from any default by Holdings or any of its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so long as the Administrative Agent has not exercised any remedies under this Agreement, any Event of Default under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8.1(f)</w:t>
      </w:r>
      <w:r>
        <w:rPr>
          <w:color w:val="000000"/>
        </w:rPr>
        <w:t xml:space="preserve"> </w:t>
      </w:r>
      <w:r>
        <w:rPr>
          <w:rFonts w:ascii="Times New Roman" w:hAnsi="Times New Roman"/>
          <w:color w:val="000000"/>
          <w:sz w:val="22"/>
        </w:rPr>
        <w:t>shall be immediately cured and no longer continuing (without any action on the part of the Administrative Agent, any Lender or otherwise) as and when any such failure (x) is remedied by Holdings, the Borrower or the applicable Subsidiary such that there is no longer a payment default or other condition with respect to such Material Indebtedness that would constitute an “event of default” (or similar term or concept) under the documents governing such Material Indebtedness or otherwise give such holder(s) the right to accelerate or demand payment under the documents governing such Material Indebtedness or (y) is waived (including in the form of amendment) by the requisite holders of the applicable item of Material Indebtedness in accordance with the documentation governing such Material Indebtedness;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Holdings, the Borrower or any Subsidiary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w:t>
      </w:r>
      <w:r>
        <w:rPr>
          <w:rFonts w:ascii="Times New Roman" w:hAnsi="Times New Roman"/>
          <w:color w:val="000000"/>
          <w:sz w:val="22"/>
          <w:u w:val="single"/>
        </w:rPr>
        <w:t>Section 8.1(h)</w:t>
      </w:r>
      <w:r>
        <w:rPr>
          <w:rFonts w:ascii="Times New Roman" w:hAnsi="Times New Roman"/>
          <w:color w:val="000000"/>
          <w:sz w:val="22"/>
        </w:rPr>
        <w:t xml:space="preserve">, (iii) apply for or consent to the appointment of a custodian, trustee, receiver, liquidator or other similar official for Holdings,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involuntary proceeding shall be commenced or an involuntary petition shall be filed seeking (i) liquidation, reorganization or other relief in respect of Holdings, the Borrower or any Subsidiary or its debts, or any substantial part of its assets, under any federal, state or foreign bankruptcy, insolvency or other similar Law now or hereafter in effect or (ii) the appointment of a custodian, trustee, receiver, liquidator or other similar official for Holdings, the Borrower or any Subsidiary or for a substantial part of its assets, and in any such case, such proceeding or petition shall remain undismissed for a period of sixty (60) days or an order or decree approving or ordering any of the foregoing shall be entered;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the Borrower or any Subsidiary shall become unable to pay, shall admit in writing its inability to pay, or shall fail to pay, its debts as they become due;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ERISA Event shall have occurred that, when taken together with other ERISA Events that have occurred, could reasonably be expected to result in liability to Holdings, the Borrower and their respective Subsidiaries in an aggregate amount exceeding the Threshold Amount;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final, non-appealable judgment or order for the payment of money in excess of the Threshold Amount (to the extent not covered by insurance as to which the applicable insurance company has been notified of the claim and has confirmed coverage), individually or in the aggregate, shall be rendered against Holdings, the Borrower or any Subsidiary, and either (i) enforcement proceedings shall have been commenced by any creditor upon such judgment or order or (ii) there shall be a period of sixty (60) consecutive days during which a stay of enforcement of such judgment or order, by reason of a pending appeal or otherwise, shall not be in effect;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Change in Control shall occur or exist;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Holdings, the Borrower or any Subsidiary or any other Person contests in any manner the validity or enforceability of any Loan Document;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the Borrower or any Subsidiary denies that it has any or further liability or obligation under any Loan Document, or purports to revoke, terminate or rescind any Loan Document;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Obligations fail to constitute “Senior Indebtedness” for purposes of the applicable Subordinated Debt Document, or all or any part of the Permitted Subordinated Indebtedness is accelerated, is declared to be due and payable is required to be prepaid or redeemed, in each case prior to the stated maturity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then, and in every such event (other than an event with respect to Holdings or the Borrower described in </w:t>
      </w:r>
      <w:r>
        <w:rPr>
          <w:rFonts w:ascii="Times New Roman" w:hAnsi="Times New Roman"/>
          <w:color w:val="000000"/>
          <w:sz w:val="22"/>
          <w:u w:val="single"/>
        </w:rPr>
        <w:t>Sections 8.1(g)</w:t>
      </w:r>
      <w:r>
        <w:rPr>
          <w:rFonts w:ascii="Times New Roman" w:hAnsi="Times New Roman"/>
          <w:color w:val="000000"/>
          <w:sz w:val="22"/>
        </w:rPr>
        <w:t xml:space="preserve">, </w:t>
      </w:r>
      <w:r>
        <w:rPr>
          <w:rFonts w:ascii="Times New Roman" w:hAnsi="Times New Roman"/>
          <w:color w:val="000000"/>
          <w:sz w:val="22"/>
          <w:u w:val="single"/>
        </w:rPr>
        <w:t>8.1(h)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8.1(i)</w:t>
      </w:r>
      <w:r>
        <w:rPr>
          <w:rFonts w:ascii="Times New Roman" w:hAnsi="Times New Roman"/>
          <w:color w:val="000000"/>
          <w:sz w:val="22"/>
        </w:rPr>
        <w:t xml:space="preserve">)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and that, if an Event of Default specified in </w:t>
      </w:r>
      <w:r>
        <w:rPr>
          <w:rFonts w:ascii="Times New Roman" w:hAnsi="Times New Roman"/>
          <w:color w:val="000000"/>
          <w:sz w:val="22"/>
          <w:u w:val="single"/>
        </w:rPr>
        <w:t>Sections 8.1(g)</w:t>
      </w:r>
      <w:r>
        <w:rPr>
          <w:rFonts w:ascii="Times New Roman" w:hAnsi="Times New Roman"/>
          <w:color w:val="000000"/>
          <w:sz w:val="22"/>
        </w:rPr>
        <w:t xml:space="preserve">, </w:t>
      </w:r>
      <w:r>
        <w:rPr>
          <w:rFonts w:ascii="Times New Roman" w:hAnsi="Times New Roman"/>
          <w:color w:val="000000"/>
          <w:sz w:val="22"/>
          <w:u w:val="single"/>
        </w:rPr>
        <w:t>(h)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shall occur with respect to Holdings or the Borrower, the Commitments shall automatically terminate and the principal of the Loans then outstanding, together with accrued interest thereon, and all fees, and all other Obligations shall automatically become due and payable, without presentment, demand, protest or other notice of any kind, all of which are hereby waived by the Borrower;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anything to the contrary in this Agreement, upon written notice by the Borrower to the Administrative Agent of its intent to make a Specified Equity Contribution pursuant to </w:t>
      </w:r>
      <w:r>
        <w:rPr>
          <w:rFonts w:ascii="Times New Roman" w:hAnsi="Times New Roman"/>
          <w:color w:val="000000"/>
          <w:sz w:val="22"/>
          <w:u w:val="single"/>
        </w:rPr>
        <w:t>Section 8.3</w:t>
      </w:r>
      <w:r>
        <w:rPr>
          <w:rFonts w:ascii="Times New Roman" w:hAnsi="Times New Roman"/>
          <w:color w:val="000000"/>
          <w:sz w:val="22"/>
        </w:rPr>
        <w:t xml:space="preserve">, neither the Administrative Agent nor any Lender shall exercise any remedy under the Loan Documents (including, without limitation, the institution of any Default Interest) or applicable Law on the basis of an Event of Default caused </w:t>
      </w:r>
      <w:r>
        <w:rPr>
          <w:rFonts w:ascii="Times New Roman" w:hAnsi="Times New Roman"/>
          <w:i/>
          <w:color w:val="000000"/>
          <w:sz w:val="22"/>
        </w:rPr>
        <w:t xml:space="preserve">solely </w:t>
      </w:r>
      <w:r>
        <w:rPr>
          <w:rFonts w:ascii="Times New Roman" w:hAnsi="Times New Roman"/>
          <w:color w:val="000000"/>
          <w:sz w:val="22"/>
        </w:rPr>
        <w:t xml:space="preserve">by the failure of the Loan Parties to comply with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6.2</w:t>
      </w:r>
      <w:r>
        <w:rPr>
          <w:rFonts w:ascii="Times New Roman" w:hAnsi="Times New Roman"/>
          <w:color w:val="000000"/>
          <w:sz w:val="20"/>
        </w:rPr>
        <w:t xml:space="preserve"> </w:t>
      </w:r>
      <w:r>
        <w:rPr>
          <w:rFonts w:ascii="Times New Roman" w:hAnsi="Times New Roman"/>
          <w:color w:val="000000"/>
          <w:sz w:val="22"/>
        </w:rPr>
        <w:t xml:space="preserve">(or any related Default or Event of Default arising from a failure to give timely notice of such failure to comply with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6.2</w:t>
      </w:r>
      <w:r>
        <w:rPr>
          <w:rFonts w:ascii="Times New Roman" w:hAnsi="Times New Roman"/>
          <w:color w:val="000000"/>
          <w:sz w:val="22"/>
        </w:rPr>
        <w:t>), until the expiration of the applicable Cure Period (the period of time from the giving of such written notice until the expiration of the applicable Cure Period, the “</w:t>
      </w:r>
      <w:r>
        <w:rPr>
          <w:rFonts w:ascii="Times New Roman" w:hAnsi="Times New Roman"/>
          <w:color w:val="000000"/>
          <w:sz w:val="22"/>
          <w:u w:val="single"/>
        </w:rPr>
        <w:t>Standstill Period</w:t>
      </w:r>
      <w:r>
        <w:rPr>
          <w:rFonts w:ascii="Times New Roman" w:hAnsi="Times New Roman"/>
          <w:color w:val="000000"/>
          <w:sz w:val="20"/>
        </w:rPr>
        <w:t>”</w:t>
      </w:r>
      <w:r>
        <w:rPr>
          <w:rFonts w:ascii="Times New Roman" w:hAnsi="Times New Roman"/>
          <w:color w:val="000000"/>
          <w:sz w:val="22"/>
        </w:rPr>
        <w:t xml:space="preserve">), and then, only in the event that (x) the Event of Default is not precluded from being cured pursuant to </w:t>
      </w:r>
      <w:r>
        <w:rPr>
          <w:rFonts w:ascii="Times New Roman" w:hAnsi="Times New Roman"/>
          <w:color w:val="000000"/>
          <w:sz w:val="22"/>
          <w:u w:val="single"/>
        </w:rPr>
        <w:t>Section 8.3</w:t>
      </w:r>
      <w:r>
        <w:rPr>
          <w:rFonts w:ascii="Times New Roman" w:hAnsi="Times New Roman"/>
          <w:color w:val="000000"/>
          <w:sz w:val="20"/>
        </w:rPr>
        <w:t xml:space="preserve"> </w:t>
      </w:r>
      <w:r>
        <w:rPr>
          <w:rFonts w:ascii="Times New Roman" w:hAnsi="Times New Roman"/>
          <w:color w:val="000000"/>
          <w:sz w:val="22"/>
        </w:rPr>
        <w:t xml:space="preserve">and (y) the Borrower or any Guarantor has not subsequently confirmed in writing that it does not intend to cause a Specified Equity Contribution to be made;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it is agreed and understood that the Lenders shall not be required to make Loans, or to issue, amend or extend Letters of Credit, during such Standstill Period.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8.2 </w:t>
      </w:r>
      <w:r>
        <w:rPr>
          <w:rFonts w:ascii="Times New Roman" w:hAnsi="Times New Roman"/>
          <w:color w:val="000000"/>
          <w:sz w:val="22"/>
          <w:u w:val="single"/>
        </w:rPr>
        <w:t>Application of Funds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After the exercise of remedies provided for in </w:t>
      </w:r>
      <w:r>
        <w:rPr>
          <w:rFonts w:ascii="Times New Roman" w:hAnsi="Times New Roman"/>
          <w:color w:val="000000"/>
          <w:sz w:val="22"/>
          <w:u w:val="single"/>
        </w:rPr>
        <w:t>Section 8.1</w:t>
      </w:r>
      <w:r>
        <w:rPr>
          <w:rFonts w:ascii="Times New Roman" w:hAnsi="Times New Roman"/>
          <w:color w:val="000000"/>
          <w:sz w:val="20"/>
        </w:rPr>
        <w:t xml:space="preserve"> </w:t>
      </w:r>
      <w:r>
        <w:rPr>
          <w:rFonts w:ascii="Times New Roman" w:hAnsi="Times New Roman"/>
          <w:color w:val="000000"/>
          <w:sz w:val="22"/>
        </w:rPr>
        <w:t xml:space="preserve">(or immediately after an Event of Default specified in either </w:t>
      </w:r>
      <w:r>
        <w:rPr>
          <w:rFonts w:ascii="Times New Roman" w:hAnsi="Times New Roman"/>
          <w:color w:val="000000"/>
          <w:sz w:val="22"/>
          <w:u w:val="single"/>
        </w:rPr>
        <w:t>Sections 8.1(g)</w:t>
      </w:r>
      <w:r>
        <w:rPr>
          <w:rFonts w:ascii="Times New Roman" w:hAnsi="Times New Roman"/>
          <w:color w:val="000000"/>
          <w:sz w:val="22"/>
        </w:rPr>
        <w:t xml:space="preserve">, </w:t>
      </w:r>
      <w:r>
        <w:rPr>
          <w:rFonts w:ascii="Times New Roman" w:hAnsi="Times New Roman"/>
          <w:color w:val="000000"/>
          <w:sz w:val="22"/>
          <w:u w:val="single"/>
        </w:rPr>
        <w:t>8.1(h)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8.1(i)</w:t>
      </w:r>
      <w:r>
        <w:rPr>
          <w:rFonts w:ascii="Times New Roman" w:hAnsi="Times New Roman"/>
          <w:color w:val="000000"/>
          <w:sz w:val="22"/>
        </w:rPr>
        <w:t>), any amounts received on account of the Obligations shall be applied by the Administrative Agent in the following order: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first</w:t>
      </w:r>
      <w:r>
        <w:rPr>
          <w:rFonts w:ascii="Times New Roman" w:hAnsi="Times New Roman"/>
          <w:color w:val="000000"/>
          <w:sz w:val="22"/>
        </w:rPr>
        <w:t>, to the reimbursable expenses of the Administrative Agent incurred in connection with such sale or other realization upon the Collateral, until the same shall have been paid in full;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second</w:t>
      </w:r>
      <w:r>
        <w:rPr>
          <w:rFonts w:ascii="Times New Roman" w:hAnsi="Times New Roman"/>
          <w:color w:val="000000"/>
          <w:sz w:val="22"/>
        </w:rPr>
        <w:t>, to the fees, all amounts owed pursuant to Erroneous Payment Subrogation Rights, and other reimbursable expenses of the Administrative Agent and the Issuing Bank then due and payable pursuant to any of the Loan Documents, until the same shall have been paid in full;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third</w:t>
      </w:r>
      <w:r>
        <w:rPr>
          <w:rFonts w:ascii="Times New Roman" w:hAnsi="Times New Roman"/>
          <w:color w:val="000000"/>
          <w:sz w:val="22"/>
        </w:rPr>
        <w:t>, to all reimbursable expenses, if any, of the Lenders then due and payable pursuant to any of the Loan Documents, until the same shall have been paid in full;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fourth</w:t>
      </w:r>
      <w:r>
        <w:rPr>
          <w:rFonts w:ascii="Times New Roman" w:hAnsi="Times New Roman"/>
          <w:color w:val="000000"/>
          <w:sz w:val="22"/>
        </w:rPr>
        <w:t xml:space="preserve">, to the fees due and payable under </w:t>
      </w:r>
      <w:r>
        <w:rPr>
          <w:rFonts w:ascii="Times New Roman" w:hAnsi="Times New Roman"/>
          <w:color w:val="000000"/>
          <w:sz w:val="22"/>
          <w:u w:val="single"/>
        </w:rPr>
        <w:t>Sections 2.14(b)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2.14(c)</w:t>
      </w:r>
      <w:r>
        <w:rPr>
          <w:color w:val="000000"/>
        </w:rPr>
        <w:t xml:space="preserve"> </w:t>
      </w:r>
      <w:r>
        <w:rPr>
          <w:rFonts w:ascii="Times New Roman" w:hAnsi="Times New Roman"/>
          <w:color w:val="000000"/>
          <w:sz w:val="22"/>
        </w:rPr>
        <w:t>of this Agreement and interest then due and payable under the terms of this Agreement, until the same shall have been paid in full;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fifth</w:t>
      </w:r>
      <w:r>
        <w:rPr>
          <w:rFonts w:ascii="Times New Roman" w:hAnsi="Times New Roman"/>
          <w:color w:val="000000"/>
          <w:sz w:val="22"/>
        </w:rPr>
        <w:t xml:space="preserve">, to (i) the aggregate outstanding principal amount of the Term Loans (allocated among the Lenders holding Term Loans in respect of their Pro Rata Shares),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Revolving Loans and the LC Exposure, (ii) payment of breakage, termination or other amounts owing in respect of any Hedging Obligations between the Borrower or any Subsidiary of Holdings and any Lender-Related Hedge Provider, to the extent such Hedging Obligations are permitted hereunder, (iii) payments of amounts due in respect of any Bank Product Obligations between the Borrower or any of Subsidiary of Holdings and any Bank Product Provider, allocated pro rata among any Lender, any Lender-Related Hedge Provider and any Bank Product Provider, based on their respective Pro Rata Shares of the aggregate amount of such Revolving Loans, LC Exposure, Hedging Obligations and Bank Product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sixth</w:t>
      </w:r>
      <w:r>
        <w:rPr>
          <w:rFonts w:ascii="Times New Roman" w:hAnsi="Times New Roman"/>
          <w:color w:val="000000"/>
          <w:sz w:val="22"/>
        </w:rPr>
        <w:t xml:space="preserve">, to additional cash collateral for the aggregate amount of all outstanding Letters of Credit until the aggregate amount of all cash collateral held by the Administrative Agent pursuant to this Agreement is equal to 105% of the LC Exposure after giving effect to the foregoing clause </w:t>
      </w:r>
      <w:r>
        <w:rPr>
          <w:rFonts w:ascii="Times New Roman" w:hAnsi="Times New Roman"/>
          <w:color w:val="000000"/>
          <w:sz w:val="22"/>
          <w:u w:val="single"/>
        </w:rPr>
        <w:t>fifth</w:t>
      </w:r>
      <w:r>
        <w:rPr>
          <w:rFonts w:ascii="Times New Roman" w:hAnsi="Times New Roman"/>
          <w:color w:val="000000"/>
          <w:sz w:val="22"/>
        </w:rPr>
        <w: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any proceeds remain, to the Borrower or other parties lawfully entitled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amounts allocated pursuant to the foregoing clauses </w:t>
      </w:r>
      <w:r>
        <w:rPr>
          <w:rFonts w:ascii="Times New Roman" w:hAnsi="Times New Roman"/>
          <w:color w:val="000000"/>
          <w:sz w:val="22"/>
          <w:u w:val="single"/>
        </w:rPr>
        <w:t>third</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sixth</w:t>
      </w:r>
      <w:r>
        <w:rPr>
          <w:rFonts w:ascii="Times New Roman" w:hAnsi="Times New Roman"/>
          <w:color w:val="000000"/>
          <w:sz w:val="20"/>
        </w:rPr>
        <w:t xml:space="preserve"> </w:t>
      </w:r>
      <w:r>
        <w:rPr>
          <w:rFonts w:ascii="Times New Roman" w:hAnsi="Times New Roman"/>
          <w:color w:val="000000"/>
          <w:sz w:val="22"/>
        </w:rPr>
        <w:t xml:space="preserve">to the Lenders as a result of amounts owed to the Lenders under the Loan Documents shall be allocated among, and distributed to, the Lenders pro rata based on their respective Pro Rata Shares; </w:t>
      </w:r>
      <w:r>
        <w:rPr>
          <w:rFonts w:ascii="Times New Roman" w:hAnsi="Times New Roman"/>
          <w:color w:val="000000"/>
          <w:sz w:val="22"/>
          <w:u w:val="single"/>
        </w:rPr>
        <w:t>provided</w:t>
      </w:r>
      <w:r>
        <w:rPr>
          <w:rFonts w:ascii="Times New Roman" w:hAnsi="Times New Roman"/>
          <w:color w:val="000000"/>
          <w:sz w:val="22"/>
        </w:rPr>
        <w:t xml:space="preserve">, that all amounts allocated to that portion of the LC Exposure comprised of the aggregate undrawn amount of all outstanding Letters of Credit pursuant to clause </w:t>
      </w:r>
      <w:r>
        <w:rPr>
          <w:rFonts w:ascii="Times New Roman" w:hAnsi="Times New Roman"/>
          <w:color w:val="000000"/>
          <w:sz w:val="22"/>
          <w:u w:val="single"/>
        </w:rPr>
        <w:t>fifth</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sixth</w:t>
      </w:r>
      <w:r>
        <w:rPr>
          <w:rFonts w:ascii="Times New Roman" w:hAnsi="Times New Roman"/>
          <w:color w:val="000000"/>
          <w:sz w:val="20"/>
        </w:rPr>
        <w:t xml:space="preserve"> </w:t>
      </w:r>
      <w:r>
        <w:rPr>
          <w:rFonts w:ascii="Times New Roman" w:hAnsi="Times New Roman"/>
          <w:color w:val="000000"/>
          <w:sz w:val="22"/>
        </w:rPr>
        <w:t xml:space="preserve">shall be distributed to the Administrative Agent, rather than to the Lenders, and held by the Administrative Agent in an account in the name of the Administrative Agent for the benefit of the Issuing Bank and the Lenders with Revolving Commitments as cash collateral for the LC Exposure, such account to be administered in accordance with </w:t>
      </w:r>
      <w:r>
        <w:rPr>
          <w:rFonts w:ascii="Times New Roman" w:hAnsi="Times New Roman"/>
          <w:color w:val="000000"/>
          <w:sz w:val="22"/>
          <w:u w:val="single"/>
        </w:rPr>
        <w:t>Section 2.22(g)</w:t>
      </w:r>
      <w:r>
        <w:rPr>
          <w:rFonts w:ascii="Times New Roman" w:hAnsi="Times New Roman"/>
          <w:color w:val="000000"/>
          <w:sz w:val="22"/>
        </w:rPr>
        <w:t>. All cash collateral for LC Exposure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w:t>
      </w:r>
      <w:r>
        <w:rPr>
          <w:rFonts w:ascii="Times New Roman" w:hAnsi="Times New Roman"/>
          <w:color w:val="000000"/>
          <w:sz w:val="22"/>
          <w:u w:val="single"/>
        </w:rPr>
        <w:t>Section 8.2</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the foregoing, Hedging Obligations and Bank Product Obligations may be excluded from the application described above without any liability to the Administrative Agent, if the Administrative Agent has not received written notice, together with such supporting documentation as the Administrative Agent may request, from the applicable Lender-Related Hedge Provider or Bank Product Provider. Each Lender-Related Hedge Provider and Bank Product Provider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for itself and its Affiliates as if a “Lender” party hereto.</w:t>
      </w:r>
    </w:p>
    <w:p>
      <w:pPr>
        <w:pStyle w:val="TextBody"/>
        <w:bidi w:val="0"/>
        <w:spacing w:before="240" w:after="283"/>
        <w:jc w:val="both"/>
        <w:rPr>
          <w:rFonts w:ascii="Times New Roman" w:hAnsi="Times New Roman"/>
          <w:sz w:val="20"/>
        </w:rPr>
      </w:pPr>
      <w:bookmarkStart w:id="455" w:name="section_8_3_certain_cure_rights___for_pu"/>
      <w:bookmarkEnd w:id="455"/>
      <w:r>
        <w:rPr>
          <w:rFonts w:ascii="Times New Roman" w:hAnsi="Times New Roman"/>
          <w:color w:val="000000"/>
          <w:sz w:val="22"/>
        </w:rPr>
        <w:t xml:space="preserve">Section 8.3 </w:t>
      </w:r>
      <w:r>
        <w:rPr>
          <w:rFonts w:ascii="Times New Roman" w:hAnsi="Times New Roman"/>
          <w:color w:val="000000"/>
          <w:sz w:val="22"/>
          <w:u w:val="single"/>
        </w:rPr>
        <w:t>Certain Cure Rights</w:t>
      </w:r>
      <w:r>
        <w:rPr>
          <w:rFonts w:ascii="Times New Roman" w:hAnsi="Times New Roman"/>
          <w:color w:val="000000"/>
          <w:sz w:val="22"/>
        </w:rPr>
        <w:t xml:space="preserve">. For purposes of determining compliance with </w:t>
      </w:r>
      <w:r>
        <w:rPr>
          <w:rFonts w:ascii="Times New Roman" w:hAnsi="Times New Roman"/>
          <w:color w:val="000000"/>
          <w:sz w:val="22"/>
          <w:u w:val="single"/>
        </w:rPr>
        <w:t>Sections 6.1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6.2</w:t>
      </w:r>
      <w:r>
        <w:rPr>
          <w:rFonts w:ascii="Times New Roman" w:hAnsi="Times New Roman"/>
          <w:color w:val="000000"/>
          <w:sz w:val="22"/>
        </w:rPr>
        <w:t xml:space="preserve">, the proceeds of any cash equity contribution (which equity shall be common Capital Stock or other Capital Stock on terms and conditions reasonably acceptable to the Administrative Agent) made to Holdings (which are subsequently contributed to the Borrower) occurring after the applicable Fiscal Quarter, and on or prior to the date that is ten (10) Business Days following the date on which financial statements are required to be delivered pursuant to </w:t>
      </w:r>
      <w:r>
        <w:rPr>
          <w:rFonts w:ascii="Times New Roman" w:hAnsi="Times New Roman"/>
          <w:color w:val="000000"/>
          <w:sz w:val="22"/>
          <w:u w:val="single"/>
        </w:rPr>
        <w:t>Sections 5.1(a)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5.1(b)</w:t>
      </w:r>
      <w:r>
        <w:rPr>
          <w:rFonts w:ascii="Times New Roman" w:hAnsi="Times New Roman"/>
          <w:color w:val="000000"/>
          <w:sz w:val="22"/>
        </w:rPr>
        <w:t>, as applicable (each such period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a “</w:t>
      </w:r>
      <w:r>
        <w:rPr>
          <w:rFonts w:ascii="Times New Roman" w:hAnsi="Times New Roman"/>
          <w:color w:val="000000"/>
          <w:sz w:val="22"/>
          <w:u w:val="single"/>
        </w:rPr>
        <w:t>Cure Period</w:t>
      </w:r>
      <w:r>
        <w:rPr>
          <w:rFonts w:ascii="Times New Roman" w:hAnsi="Times New Roman"/>
          <w:color w:val="000000"/>
          <w:sz w:val="20"/>
        </w:rPr>
        <w:t>”</w:t>
      </w:r>
      <w:r>
        <w:rPr>
          <w:rFonts w:ascii="Times New Roman" w:hAnsi="Times New Roman"/>
          <w:color w:val="000000"/>
          <w:sz w:val="22"/>
        </w:rPr>
        <w:t xml:space="preserve">), will, at the irrevocable election of the Borrower, be included in the calculation of, and increase, Consolidated EBITDA on a dollar-for-dollar basis solely for the purpose of determining compliance with </w:t>
      </w:r>
      <w:r>
        <w:rPr>
          <w:rFonts w:ascii="Times New Roman" w:hAnsi="Times New Roman"/>
          <w:color w:val="000000"/>
          <w:sz w:val="22"/>
          <w:u w:val="single"/>
        </w:rPr>
        <w:t>Sections 6.1</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6.2</w:t>
      </w:r>
      <w:r>
        <w:rPr>
          <w:rFonts w:ascii="Times New Roman" w:hAnsi="Times New Roman"/>
          <w:color w:val="000000"/>
          <w:sz w:val="22"/>
        </w:rPr>
        <w:t>, as applicable, at the end of the relevant Fiscal Quarter and for any subsequent period including such Fiscal Quarter (a “</w:t>
      </w:r>
      <w:r>
        <w:rPr>
          <w:rFonts w:ascii="Times New Roman" w:hAnsi="Times New Roman"/>
          <w:color w:val="000000"/>
          <w:sz w:val="22"/>
          <w:u w:val="single"/>
        </w:rPr>
        <w:t>Specified Equity Contribution</w:t>
      </w:r>
      <w:r>
        <w:rPr>
          <w:rFonts w:ascii="Times New Roman" w:hAnsi="Times New Roman"/>
          <w:color w:val="000000"/>
          <w:sz w:val="20"/>
        </w:rPr>
        <w:t>”</w:t>
      </w:r>
      <w:r>
        <w:rPr>
          <w:rFonts w:ascii="Times New Roman" w:hAnsi="Times New Roman"/>
          <w:color w:val="000000"/>
          <w:sz w:val="22"/>
        </w:rPr>
        <w:t xml:space="preserve">) and not for any other purpose; </w:t>
      </w:r>
      <w:r>
        <w:rPr>
          <w:rFonts w:ascii="Times New Roman" w:hAnsi="Times New Roman"/>
          <w:color w:val="000000"/>
          <w:sz w:val="22"/>
          <w:u w:val="single"/>
        </w:rPr>
        <w:t>provided</w:t>
      </w:r>
      <w:r>
        <w:rPr>
          <w:rFonts w:ascii="Times New Roman" w:hAnsi="Times New Roman"/>
          <w:color w:val="000000"/>
          <w:sz w:val="22"/>
        </w:rPr>
        <w:t>,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any period consisting of four (4) consecutive Fiscal Quarters, there shall be at least two (2) Fiscal Quarters in which no Specified Equity Contribution is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amount of any Specified Equity Contribution will be no greater than the amount required to cause the Borrower to be in compliance with </w:t>
      </w:r>
      <w:r>
        <w:rPr>
          <w:rFonts w:ascii="Times New Roman" w:hAnsi="Times New Roman"/>
          <w:color w:val="000000"/>
          <w:sz w:val="22"/>
          <w:u w:val="single"/>
        </w:rPr>
        <w:t>Sections 6.1</w:t>
      </w:r>
      <w:r>
        <w:rPr>
          <w:color w:val="000000"/>
        </w:rPr>
        <w:t xml:space="preserve"> </w:t>
      </w:r>
      <w:r>
        <w:rPr>
          <w:rFonts w:ascii="Times New Roman" w:hAnsi="Times New Roman"/>
          <w:color w:val="000000"/>
          <w:sz w:val="22"/>
        </w:rPr>
        <w:t xml:space="preserve">and/or </w:t>
      </w:r>
      <w:r>
        <w:rPr>
          <w:rFonts w:ascii="Times New Roman" w:hAnsi="Times New Roman"/>
          <w:color w:val="000000"/>
          <w:sz w:val="22"/>
          <w:u w:val="single"/>
        </w:rPr>
        <w:t>6.2</w:t>
      </w:r>
      <w:r>
        <w:rPr>
          <w:rFonts w:ascii="Times New Roman" w:hAnsi="Times New Roman"/>
          <w:color w:val="000000"/>
          <w:sz w:val="22"/>
        </w:rPr>
        <w:t>, as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all Specified Equity Contributions will be disregarded for purposes of the calculation of Consolidated EBITDA for all purposes other than for the express purposes set forth in this </w:t>
      </w:r>
      <w:r>
        <w:rPr>
          <w:rFonts w:ascii="Times New Roman" w:hAnsi="Times New Roman"/>
          <w:color w:val="000000"/>
          <w:sz w:val="22"/>
          <w:u w:val="single"/>
        </w:rPr>
        <w:t>Section 8.3</w:t>
      </w:r>
      <w:r>
        <w:rPr>
          <w:rFonts w:ascii="Times New Roman" w:hAnsi="Times New Roman"/>
          <w:color w:val="000000"/>
          <w:sz w:val="22"/>
        </w:rPr>
        <w:t xml:space="preserve">, including, without limitation, calculation of the Applicable Margin, any financial ratio-based conditions (other than actual compliance with </w:t>
      </w:r>
      <w:r>
        <w:rPr>
          <w:rFonts w:ascii="Times New Roman" w:hAnsi="Times New Roman"/>
          <w:color w:val="000000"/>
          <w:sz w:val="22"/>
          <w:u w:val="single"/>
        </w:rPr>
        <w:t>Article VI</w:t>
      </w:r>
      <w:r>
        <w:rPr>
          <w:rFonts w:ascii="Times New Roman" w:hAnsi="Times New Roman"/>
          <w:color w:val="000000"/>
          <w:sz w:val="22"/>
        </w:rPr>
        <w:t>) or the availability or amount of any covenant baskets or carveouts;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shall be no more than five (5) Specified Equity Contributions made in the aggregate after the Closing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Specified Equity Contribution shall be included as Consolidated EBITDA only as provided above with respect to any period of four (4) consecutive Fiscal Quarters including the applicable Fiscal Quarter;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there shall be no </w:t>
      </w:r>
      <w:r>
        <w:rPr>
          <w:rFonts w:ascii="Times New Roman" w:hAnsi="Times New Roman"/>
          <w:i/>
          <w:color w:val="000000"/>
          <w:sz w:val="22"/>
        </w:rPr>
        <w:t xml:space="preserve">pro forma </w:t>
      </w:r>
      <w:r>
        <w:rPr>
          <w:rFonts w:ascii="Times New Roman" w:hAnsi="Times New Roman"/>
          <w:color w:val="000000"/>
          <w:sz w:val="22"/>
        </w:rPr>
        <w:t xml:space="preserve">or other reduction in Indebtedness, through either the netting of cash or prepayment of the Term Loans, with the proceeds of any such Specified Equity Contribution for determining compliance with </w:t>
      </w:r>
      <w:r>
        <w:rPr>
          <w:rFonts w:ascii="Times New Roman" w:hAnsi="Times New Roman"/>
          <w:color w:val="000000"/>
          <w:sz w:val="22"/>
          <w:u w:val="single"/>
        </w:rPr>
        <w:t>Sections 6.1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6.2</w:t>
      </w:r>
      <w:r>
        <w:rPr>
          <w:rFonts w:ascii="Times New Roman" w:hAnsi="Times New Roman"/>
          <w:color w:val="000000"/>
          <w:sz w:val="22"/>
        </w:rPr>
        <w:t>, for any of the periods in which such Specified Equity Contribution is included in Consolidated EBITDA (including, without limitation, the three (3) subsequent Fiscal Quarters following the Fiscal Quarter with respect to which the applicable Specified Equity Contribution was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2"/>
        </w:rPr>
      </w:pPr>
      <w:bookmarkStart w:id="456" w:name="article_ix___the_administrative_agent"/>
      <w:bookmarkEnd w:id="456"/>
      <w:r>
        <w:rPr>
          <w:rFonts w:ascii="Times New Roman" w:hAnsi="Times New Roman"/>
          <w:color w:val="000000"/>
          <w:sz w:val="22"/>
        </w:rPr>
        <w:t>ARTICLE IX</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THE ADMINISTRATIVE AGENT</w:t>
      </w:r>
    </w:p>
    <w:p>
      <w:pPr>
        <w:pStyle w:val="TextBody"/>
        <w:bidi w:val="0"/>
        <w:spacing w:before="240" w:after="283"/>
        <w:jc w:val="both"/>
        <w:rPr>
          <w:rFonts w:ascii="Times New Roman" w:hAnsi="Times New Roman"/>
          <w:sz w:val="20"/>
        </w:rPr>
      </w:pPr>
      <w:bookmarkStart w:id="457" w:name="section_9_1_appointment_of_administrativ"/>
      <w:bookmarkEnd w:id="457"/>
      <w:r>
        <w:rPr>
          <w:rFonts w:ascii="Times New Roman" w:hAnsi="Times New Roman"/>
          <w:color w:val="000000"/>
          <w:sz w:val="22"/>
        </w:rPr>
        <w:t xml:space="preserve">Section 9.1 </w:t>
      </w:r>
      <w:r>
        <w:rPr>
          <w:rFonts w:ascii="Times New Roman" w:hAnsi="Times New Roman"/>
          <w:color w:val="000000"/>
          <w:sz w:val="22"/>
          <w:u w:val="single"/>
        </w:rPr>
        <w:t>Appointment of Administrative Agent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Lender and the Issuing Bank irrevocably appoints Truist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shall apply to any such sub-agent, attorney-in-fact or Related Party and shall apply to their respective activities in connection with the syndication of the credit facilities provided for herein as well as activities as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Issuing Bank shall have all the benefits and immunities (i) provided to the Administrative Agent in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included the Issuing Bank with respect to such acts or omissions and (ii) as additionally provided in this Agreement with respect to the Issuing Bank.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58" w:name="section_9_2_nature_of_duties_of_administ"/>
      <w:bookmarkEnd w:id="458"/>
      <w:r>
        <w:rPr>
          <w:rFonts w:ascii="Times New Roman" w:hAnsi="Times New Roman"/>
          <w:color w:val="000000"/>
          <w:sz w:val="22"/>
        </w:rPr>
        <w:t xml:space="preserve">Section 9.2 </w:t>
      </w:r>
      <w:r>
        <w:rPr>
          <w:rFonts w:ascii="Times New Roman" w:hAnsi="Times New Roman"/>
          <w:color w:val="000000"/>
          <w:sz w:val="22"/>
          <w:u w:val="single"/>
        </w:rPr>
        <w:t>Nature of Duties of Administrative Agent</w:t>
      </w:r>
      <w:r>
        <w:rPr>
          <w:rFonts w:ascii="Times New Roman" w:hAnsi="Times New Roman"/>
          <w:color w:val="000000"/>
          <w:sz w:val="22"/>
        </w:rPr>
        <w:t xml:space="preserve">. The Administrative Agent shall not have any duties or obligations except those expressly set forth in this Agreement and the other Loan Documents. The motivations of the Administrative Agent are commercial in nature and not to invest in the general performance or operations of Holdings or the Borrower.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Times New Roman" w:hAnsi="Times New Roman"/>
          <w:color w:val="000000"/>
          <w:sz w:val="22"/>
          <w:u w:val="single"/>
        </w:rPr>
        <w:t>Section 11.2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failure to disclose, any information relating to Holdings, the Borrower or any of their Subsidiaries that is communicated to or obtained by the Administrative Agent or any of its branches or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Times New Roman" w:hAnsi="Times New Roman"/>
          <w:color w:val="000000"/>
          <w:sz w:val="22"/>
          <w:u w:val="single"/>
        </w:rPr>
        <w:t>Section 11.2</w:t>
      </w:r>
      <w:r>
        <w:rPr>
          <w:rFonts w:ascii="Times New Roman" w:hAnsi="Times New Roman"/>
          <w:color w:val="000000"/>
          <w:sz w:val="22"/>
        </w:rPr>
        <w:t>) or in the absence of its own gross negligence or willful misconduct as determined by a court of competent jurisdiction in a final non-appealable judgment. The Administrative Agent shall not be responsible for the negligence or misconduct of any sub-agents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attorneys-in-fact except to the extent that a court of competent jurisdiction determines in a final and non-appealable judgment that the Administrative Agent acted with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pStyle w:val="TextBody"/>
        <w:bidi w:val="0"/>
        <w:spacing w:before="240" w:after="283"/>
        <w:jc w:val="both"/>
        <w:rPr>
          <w:rFonts w:ascii="Times New Roman" w:hAnsi="Times New Roman"/>
          <w:sz w:val="20"/>
        </w:rPr>
      </w:pPr>
      <w:bookmarkStart w:id="459" w:name="section_9_3_lack_of_reliance_on_the_admi"/>
      <w:bookmarkEnd w:id="459"/>
      <w:r>
        <w:rPr>
          <w:rFonts w:ascii="Times New Roman" w:hAnsi="Times New Roman"/>
          <w:color w:val="000000"/>
          <w:sz w:val="22"/>
        </w:rPr>
        <w:t xml:space="preserve">Section 9.3 </w:t>
      </w:r>
      <w:r>
        <w:rPr>
          <w:rFonts w:ascii="Times New Roman" w:hAnsi="Times New Roman"/>
          <w:color w:val="000000"/>
          <w:sz w:val="22"/>
          <w:u w:val="single"/>
        </w:rPr>
        <w:t>Lack of Reliance on the Administrative Agent</w:t>
      </w:r>
      <w:r>
        <w:rPr>
          <w:rFonts w:ascii="Times New Roman" w:hAnsi="Times New Roman"/>
          <w:color w:val="000000"/>
          <w:sz w:val="22"/>
        </w:rPr>
        <w:t>. Each of the Lenders, the Swingline Lender and the Issuing Bank acknowledges that it has, independently and without reliance upon the Administrative Agent, the Issuing Bank or any other Lender and based on such documents and information as it has deemed appropriate, made its own credit analysis and decision to enter into this Agreement. Each of the Lenders, the Swingline Lender and the Issuing Bank also acknowledges that it will, independently and without reliance upon the Administrative Agent, the Arranger, the Issuing Bank, any other Lender or any of their Related Parties and based on such documents and information as it has deemed appropriate, continue to make its own credit analysis, appraisals and decisions in taking or not taking any action under or based 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the Swingline Lender and the Issuing Bank represents and warrants to the Administrative Agent that (i) the Loan Documents set forth the terms of a commercial lending facility and (ii) it is engaged in making, acquiring or holding commercial loans, issuing or participating in letters of credit or providing other similar facilities in the ordinary course and is entering into this Agreement as a Lender, the Swingline Lender or the Issuing Bank, as applicable, for the purpose of making, acquiring or holding commercial loans, issuing or participating in letters of credit and providing other facilities set forth herein as may be applicable to such Lender, the Swingline Lender or the Issuing Bank, as applicable, and not for the purpose of investing in the general performance or operations of Holdings or the Borrower or for the purpose of purchasing, acquiring or holding any other type of financial instrument such as a security, and each Lender, the Swingline Lender and the Issuing Bank agrees not to assert a claim in contravention of the foregoing such as a claim under the federal or state securities laws. Each Lender, the Swingline Lender and the Issuing Bank represents and warrants to the Administrative Agent that it is sophisticated with respect to decisions to make, acquire or hold commercial loans, issue or participate in letters of credit and to provide other facilities set forth herein, as may be applicable to such Lender, the Swingline Lender or the Issuing Bank, as applicable, and either it, or the Person exercising discretion in making its decision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make, acquire or hold such commercial loans, issue or participate in letters of credit or to provide such other facilities, is experienced in making, acquiring or holding such commercial loans, issue or participate in letters of credit or providing such other facilities. Each of the Lenders and the Issuing Bank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or the Issuing Bank (other than the Administrative Agent and its Affiliates) in connection with this Agreement, the other Loan Documents or any of the transactions contemplated hereby or thereby.</w:t>
      </w:r>
    </w:p>
    <w:p>
      <w:pPr>
        <w:pStyle w:val="TextBody"/>
        <w:bidi w:val="0"/>
        <w:spacing w:before="240" w:after="283"/>
        <w:jc w:val="both"/>
        <w:rPr>
          <w:rFonts w:ascii="Times New Roman" w:hAnsi="Times New Roman"/>
          <w:sz w:val="20"/>
        </w:rPr>
      </w:pPr>
      <w:bookmarkStart w:id="460" w:name="section_9_4_certain_rights_of_the_admini"/>
      <w:bookmarkEnd w:id="460"/>
      <w:r>
        <w:rPr>
          <w:rFonts w:ascii="Times New Roman" w:hAnsi="Times New Roman"/>
          <w:color w:val="000000"/>
          <w:sz w:val="22"/>
        </w:rPr>
        <w:t xml:space="preserve">Section 9.4 </w:t>
      </w:r>
      <w:r>
        <w:rPr>
          <w:rFonts w:ascii="Times New Roman" w:hAnsi="Times New Roman"/>
          <w:color w:val="000000"/>
          <w:sz w:val="22"/>
          <w:u w:val="single"/>
        </w:rPr>
        <w:t>Certain Rights of the Administrative Agent</w:t>
      </w:r>
      <w:r>
        <w:rPr>
          <w:rFonts w:ascii="Times New Roman" w:hAnsi="Times New Roman"/>
          <w:color w:val="000000"/>
          <w:sz w:val="22"/>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pStyle w:val="TextBody"/>
        <w:bidi w:val="0"/>
        <w:spacing w:before="240" w:after="283"/>
        <w:jc w:val="both"/>
        <w:rPr>
          <w:rFonts w:ascii="Times New Roman" w:hAnsi="Times New Roman"/>
          <w:sz w:val="20"/>
        </w:rPr>
      </w:pPr>
      <w:bookmarkStart w:id="461" w:name="section_9_5_reliance_by_administrative_a"/>
      <w:bookmarkEnd w:id="461"/>
      <w:r>
        <w:rPr>
          <w:rFonts w:ascii="Times New Roman" w:hAnsi="Times New Roman"/>
          <w:color w:val="000000"/>
          <w:sz w:val="22"/>
        </w:rPr>
        <w:t xml:space="preserve">Section 9.5 </w:t>
      </w:r>
      <w:r>
        <w:rPr>
          <w:rFonts w:ascii="Times New Roman" w:hAnsi="Times New Roman"/>
          <w:color w:val="000000"/>
          <w:sz w:val="22"/>
          <w:u w:val="single"/>
        </w:rPr>
        <w:t>Reliance by Administrative Agent</w:t>
      </w:r>
      <w:r>
        <w:rPr>
          <w:rFonts w:ascii="Times New Roman" w:hAnsi="Times New Roman"/>
          <w:color w:val="000000"/>
          <w:sz w:val="22"/>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Holdings and the Borrower), independent public accountants and other experts selected by it and shall not be liable for any action taken or not taken by it in accordance with the advice of such counsel, accountants or experts.</w:t>
      </w:r>
    </w:p>
    <w:p>
      <w:pPr>
        <w:pStyle w:val="TextBody"/>
        <w:bidi w:val="0"/>
        <w:spacing w:before="240" w:after="283"/>
        <w:jc w:val="both"/>
        <w:rPr>
          <w:rFonts w:ascii="Times New Roman" w:hAnsi="Times New Roman"/>
          <w:sz w:val="20"/>
        </w:rPr>
      </w:pPr>
      <w:bookmarkStart w:id="462" w:name="section_9_6_the_administrative_agent_in_"/>
      <w:bookmarkEnd w:id="462"/>
      <w:r>
        <w:rPr>
          <w:rFonts w:ascii="Times New Roman" w:hAnsi="Times New Roman"/>
          <w:color w:val="000000"/>
          <w:sz w:val="22"/>
        </w:rPr>
        <w:t xml:space="preserve">Section 9.6 </w:t>
      </w:r>
      <w:r>
        <w:rPr>
          <w:rFonts w:ascii="Times New Roman" w:hAnsi="Times New Roman"/>
          <w:color w:val="000000"/>
          <w:sz w:val="22"/>
          <w:u w:val="single"/>
        </w:rPr>
        <w:t>The Administrative Agent in its Individual Capacity</w:t>
      </w:r>
      <w:r>
        <w:rPr>
          <w:rFonts w:ascii="Times New Roman" w:hAnsi="Times New Roman"/>
          <w:color w:val="000000"/>
          <w:sz w:val="22"/>
        </w:rPr>
        <w:t>. The bank serving as the Administrative Agent shall have the same rights and powers under this Agreement and any other Loan Document in its capacity as a Lender or Issuing Bank as any other Lender or Issuing Bank and may exercise or refrain from exercising the same as though it were not the Administrative Agent; and the terms “Lenders”, “Required Lenders”, “Required Revolving Lenders”, or any similar terms shall, unless the context clearly otherwise indicates, include the Administrative Agent in its individual capacity. The bank acting as the Administrative Agent and its branches and Affiliates may accept deposits from, lend money to, and generally engage in any kind of business with Holdings, the Borrower or any Subsidiary or Affiliate of Holdings or the Borrower as if it were not the Administrative Agent hereunder.</w:t>
      </w:r>
    </w:p>
    <w:p>
      <w:pPr>
        <w:pStyle w:val="TextBody"/>
        <w:bidi w:val="0"/>
        <w:spacing w:before="240" w:after="283"/>
        <w:jc w:val="both"/>
        <w:rPr>
          <w:rFonts w:ascii="Times New Roman" w:hAnsi="Times New Roman"/>
          <w:sz w:val="20"/>
        </w:rPr>
      </w:pPr>
      <w:bookmarkStart w:id="463" w:name="section_9_7_successor_administrative_age"/>
      <w:bookmarkEnd w:id="463"/>
      <w:r>
        <w:rPr>
          <w:rFonts w:ascii="Times New Roman" w:hAnsi="Times New Roman"/>
          <w:color w:val="000000"/>
          <w:sz w:val="22"/>
        </w:rPr>
        <w:t xml:space="preserve">Section 9.7 </w:t>
      </w:r>
      <w:r>
        <w:rPr>
          <w:rFonts w:ascii="Times New Roman" w:hAnsi="Times New Roman"/>
          <w:color w:val="000000"/>
          <w:sz w:val="22"/>
          <w:u w:val="single"/>
        </w:rPr>
        <w:t>Successor Administrative Agent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Administrative Agent may resign at any time by giving notice thereof to the Lenders and the Borrower. Upon any such resignation, the Required Lenders shall have the right to appoint a successor Administrative Agent, subject to approval by the Borrower (such approval not to be unreasonably withheld, conditioned or delayed) provided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Any resignation by the Administrative Agent pursuant to this </w:t>
      </w:r>
      <w:r>
        <w:rPr>
          <w:rFonts w:ascii="Times New Roman" w:hAnsi="Times New Roman"/>
          <w:color w:val="000000"/>
          <w:sz w:val="22"/>
          <w:u w:val="single"/>
        </w:rPr>
        <w:t>Section 9.7</w:t>
      </w:r>
      <w:r>
        <w:rPr>
          <w:color w:val="000000"/>
        </w:rPr>
        <w:t xml:space="preserve"> </w:t>
      </w:r>
      <w:r>
        <w:rPr>
          <w:rFonts w:ascii="Times New Roman" w:hAnsi="Times New Roman"/>
          <w:color w:val="000000"/>
          <w:sz w:val="22"/>
        </w:rPr>
        <w:t xml:space="preserve">shall also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constitute its resignation as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 To the extent the retiring Administrative Agent is holding cash, deposit account balances or other credit support as collateral for Cash Collateralized Letters of Credit, the retiring Administrative Agent shall at or reasonably promptly following its resignation cause such collateral to be transferred to the successor Administrative Agent or, if no successor Administrative Agent has been appointed and accepted such appointment, to the respective Issuing Banks ratably according to the outstanding amount of Cash Collateralized Letters of Credit issued by them, in each case to be held as collateral for such Cash Collateralized Letters of Credit in accordance with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w:t>
      </w:r>
      <w:r>
        <w:rPr>
          <w:rFonts w:ascii="Times New Roman" w:hAnsi="Times New Roman"/>
          <w:color w:val="000000"/>
          <w:sz w:val="22"/>
          <w:u w:val="single"/>
        </w:rPr>
        <w:t>Section 9.7</w:t>
      </w:r>
      <w:r>
        <w:rPr>
          <w:rFonts w:ascii="Times New Roman" w:hAnsi="Times New Roman"/>
          <w:color w:val="000000"/>
          <w:sz w:val="22"/>
        </w:rPr>
        <w:t>, no successor Administrative Agent shall have been appointed and shall have accepted such appointment, then on such 45</w:t>
      </w:r>
      <w:r>
        <w:rPr>
          <w:rFonts w:ascii="Times New Roman" w:hAnsi="Times New Roman"/>
          <w:color w:val="000000"/>
          <w:sz w:val="15"/>
        </w:rPr>
        <w:t>th</w:t>
      </w:r>
      <w:r>
        <w:rPr>
          <w:color w:val="000000"/>
        </w:rPr>
        <w:t xml:space="preserve"> </w:t>
      </w:r>
      <w:r>
        <w:rPr>
          <w:rFonts w:ascii="Times New Roman" w:hAnsi="Times New Roman"/>
          <w:color w:val="000000"/>
          <w:sz w:val="22"/>
        </w:rPr>
        <w:t xml:space="preserve">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 successor Administrative Agent as provided above. After any retiring Administrative Agent’s resignation hereunder, the provisions of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shall continue in effect for the benefit of such retiring Administrative Agent and its representatives and agents in respect of any actions taken or not taken by any of them while it was serving as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addition to the foregoing, if a Lender becomes, and during the period it remains, a Defaulting Lender, and if any Default or Event of Default has arisen from a failure of the Borrower to comply with </w:t>
      </w:r>
      <w:r>
        <w:rPr>
          <w:rFonts w:ascii="Times New Roman" w:hAnsi="Times New Roman"/>
          <w:color w:val="000000"/>
          <w:sz w:val="22"/>
          <w:u w:val="single"/>
        </w:rPr>
        <w:t>Section 2.26(b)</w:t>
      </w:r>
      <w:r>
        <w:rPr>
          <w:rFonts w:ascii="Times New Roman" w:hAnsi="Times New Roman"/>
          <w:color w:val="000000"/>
          <w:sz w:val="22"/>
        </w:rPr>
        <w:t>, then the Issuing Bank and the Swingline Lender may, upon prior written notice to the Borrower and the Administrative Agent, resign as Issuing Bank or as Swingline Lender, as the case may be, effective at the close of business Charlotte, North Carolina time on a date specified in such notice (which date may not be less than five (5) Business Days after the date of such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64" w:name="section_9_8_withholding_tax___to_the_ext"/>
      <w:bookmarkEnd w:id="464"/>
      <w:r>
        <w:rPr>
          <w:rFonts w:ascii="Times New Roman" w:hAnsi="Times New Roman"/>
          <w:color w:val="000000"/>
          <w:sz w:val="22"/>
        </w:rPr>
        <w:t xml:space="preserve">Section 9.8 </w:t>
      </w:r>
      <w:r>
        <w:rPr>
          <w:rFonts w:ascii="Times New Roman" w:hAnsi="Times New Roman"/>
          <w:color w:val="000000"/>
          <w:sz w:val="22"/>
          <w:u w:val="single"/>
        </w:rPr>
        <w:t>Withholding Tax</w:t>
      </w:r>
      <w:r>
        <w:rPr>
          <w:rFonts w:ascii="Times New Roman" w:hAnsi="Times New Roman"/>
          <w:color w:val="000000"/>
          <w:sz w:val="22"/>
        </w:rPr>
        <w:t>. 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 indirectly, by the Administrative Agent as tax or otherwise, including penalties and interest, together with all expenses incurred, including legal expenses, allocated staff costs and any out of pocket expenses.</w:t>
      </w:r>
    </w:p>
    <w:p>
      <w:pPr>
        <w:pStyle w:val="TextBody"/>
        <w:bidi w:val="0"/>
        <w:spacing w:before="240" w:after="283"/>
        <w:jc w:val="both"/>
        <w:rPr>
          <w:rFonts w:ascii="Times New Roman" w:hAnsi="Times New Roman"/>
          <w:sz w:val="20"/>
        </w:rPr>
      </w:pPr>
      <w:bookmarkStart w:id="465" w:name="section_9_9_administrative_agent_may_fil"/>
      <w:bookmarkEnd w:id="465"/>
      <w:r>
        <w:rPr>
          <w:rFonts w:ascii="Times New Roman" w:hAnsi="Times New Roman"/>
          <w:color w:val="000000"/>
          <w:sz w:val="22"/>
        </w:rPr>
        <w:t xml:space="preserve">Section 9.9 </w:t>
      </w:r>
      <w:r>
        <w:rPr>
          <w:rFonts w:ascii="Times New Roman" w:hAnsi="Times New Roman"/>
          <w:color w:val="000000"/>
          <w:sz w:val="22"/>
          <w:u w:val="single"/>
        </w:rPr>
        <w:t>Administrative Agent May File Proofs of Claim</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onHoldings or the Borrower) shall be entitled and empowered, by intervention in such proceeding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its agents and counsel and all other amounts due the Lenders, the Issuing Bank and the Administrative Agent under </w:t>
      </w:r>
      <w:r>
        <w:rPr>
          <w:rFonts w:ascii="Times New Roman" w:hAnsi="Times New Roman"/>
          <w:color w:val="000000"/>
          <w:sz w:val="22"/>
          <w:u w:val="single"/>
        </w:rPr>
        <w:t>Section 11.3</w:t>
      </w:r>
      <w:r>
        <w:rPr>
          <w:rFonts w:ascii="Times New Roman" w:hAnsi="Times New Roman"/>
          <w:color w:val="000000"/>
          <w:sz w:val="22"/>
        </w:rPr>
        <w:t>) allowed in such judicial proceeding;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collect and receive any monies or other property payable or deliverable on any such claims and to distribute the same;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custodian,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olor w:val="000000"/>
          <w:sz w:val="22"/>
          <w:u w:val="single"/>
        </w:rPr>
        <w:t>Section 11.3</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to authorize the Administrative Agent to vote in respect of the claim of any Lender in any such proceeding.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66" w:name="section_9_10_authorization_to_execute_ot"/>
      <w:bookmarkEnd w:id="466"/>
      <w:r>
        <w:rPr>
          <w:rFonts w:ascii="Times New Roman" w:hAnsi="Times New Roman"/>
          <w:color w:val="000000"/>
          <w:sz w:val="22"/>
        </w:rPr>
        <w:t xml:space="preserve">Section 9.10 </w:t>
      </w:r>
      <w:r>
        <w:rPr>
          <w:rFonts w:ascii="Times New Roman" w:hAnsi="Times New Roman"/>
          <w:color w:val="000000"/>
          <w:sz w:val="22"/>
          <w:u w:val="single"/>
        </w:rPr>
        <w:t>Authorization to Execute Other Loan Documents</w:t>
      </w:r>
      <w:r>
        <w:rPr>
          <w:rFonts w:ascii="Times New Roman" w:hAnsi="Times New Roman"/>
          <w:color w:val="000000"/>
          <w:sz w:val="22"/>
        </w:rPr>
        <w:t>. Each Lender and the Issuing Bank hereby authorizes the Administrative Agent to execute on behalf of such Lender or the Issuing Bank, as applicable, all Loan Documents (including the Collateral Documents and any intercreditor and subordination agreements) other than this Agreement.</w:t>
      </w:r>
    </w:p>
    <w:p>
      <w:pPr>
        <w:pStyle w:val="TextBody"/>
        <w:bidi w:val="0"/>
        <w:spacing w:before="240" w:after="283"/>
        <w:jc w:val="both"/>
        <w:rPr>
          <w:rFonts w:ascii="Times New Roman" w:hAnsi="Times New Roman"/>
          <w:sz w:val="20"/>
        </w:rPr>
      </w:pPr>
      <w:bookmarkStart w:id="467" w:name="section_9_11_collateral_and_guaranty_mat"/>
      <w:bookmarkEnd w:id="467"/>
      <w:r>
        <w:rPr>
          <w:rFonts w:ascii="Times New Roman" w:hAnsi="Times New Roman"/>
          <w:color w:val="000000"/>
          <w:sz w:val="22"/>
        </w:rPr>
        <w:t xml:space="preserve">Section 9.11 </w:t>
      </w:r>
      <w:r>
        <w:rPr>
          <w:rFonts w:ascii="Times New Roman" w:hAnsi="Times New Roman"/>
          <w:color w:val="000000"/>
          <w:sz w:val="22"/>
          <w:u w:val="single"/>
        </w:rPr>
        <w:t>Collateral and Guaranty Matters</w:t>
      </w:r>
      <w:r>
        <w:rPr>
          <w:rFonts w:ascii="Times New Roman" w:hAnsi="Times New Roman"/>
          <w:color w:val="000000"/>
          <w:sz w:val="22"/>
        </w:rPr>
        <w:t>. The Lenders and the Issuing Bank irrevocably authorize the Administrative Agent, at its option and in its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to release any Lien on any property granted to or held by the Administrative Agent under any Loan Document (i) upon the termination of all Revolving Commitments, the Cash Collateralization of all reimbursement obligations with respect to Letters of Credit in an amount equal to 105% of the aggregate LC Exposure of all Lenders, and the payment in full of all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Obligations (other than contingent indemnification obligations and such Cash Collateralized reimbursement obligations), (ii) that is sold or to be sold as part of or in connection with any sale permitted hereunder or under any other Loan Document, or (iii) if approved, authorized or ratified in writing in accordance with </w:t>
      </w:r>
      <w:r>
        <w:rPr>
          <w:rFonts w:ascii="Times New Roman" w:hAnsi="Times New Roman"/>
          <w:color w:val="000000"/>
          <w:sz w:val="22"/>
          <w:u w:val="single"/>
        </w:rPr>
        <w:t>Section 11.2</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release any Loan Party from its obligations under the applicable Loan Documents if such Person ceases to be a Subsidiary as a result of a transaction permitted hereunder;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subordinate any Lien on any property granted to or held by the Administrative Agent under any Loan Document to the holder of any Lien on such property that is permitted by </w:t>
      </w:r>
      <w:r>
        <w:rPr>
          <w:rFonts w:ascii="Times New Roman" w:hAnsi="Times New Roman"/>
          <w:color w:val="000000"/>
          <w:sz w:val="22"/>
          <w:u w:val="single"/>
        </w:rPr>
        <w:t>Section 7.2(d)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w:t>
      </w:r>
      <w:r>
        <w:rPr>
          <w:rFonts w:ascii="Times New Roman" w:hAnsi="Times New Roman"/>
          <w:color w:val="000000"/>
          <w:sz w:val="22"/>
          <w:u w:val="single"/>
        </w:rPr>
        <w:t>Section 9.11</w:t>
      </w:r>
      <w:r>
        <w:rPr>
          <w:rFonts w:ascii="Times New Roman" w:hAnsi="Times New Roman"/>
          <w:color w:val="000000"/>
          <w:sz w:val="22"/>
        </w:rPr>
        <w:t xml:space="preserve">. In each case as specified in this </w:t>
      </w:r>
      <w:r>
        <w:rPr>
          <w:rFonts w:ascii="Times New Roman" w:hAnsi="Times New Roman"/>
          <w:color w:val="000000"/>
          <w:sz w:val="22"/>
          <w:u w:val="single"/>
        </w:rPr>
        <w:t>Section 9.11</w:t>
      </w:r>
      <w:r>
        <w:rPr>
          <w:rFonts w:ascii="Times New Roman" w:hAnsi="Times New Roman"/>
          <w:color w:val="000000"/>
          <w:sz w:val="22"/>
        </w:rPr>
        <w:t xml:space="preserve">,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w:t>
      </w:r>
      <w:r>
        <w:rPr>
          <w:rFonts w:ascii="Times New Roman" w:hAnsi="Times New Roman"/>
          <w:color w:val="000000"/>
          <w:sz w:val="22"/>
          <w:u w:val="single"/>
        </w:rPr>
        <w:t>Section 9.11</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9.12 </w:t>
      </w:r>
      <w:r>
        <w:rPr>
          <w:rFonts w:ascii="Times New Roman" w:hAnsi="Times New Roman"/>
          <w:color w:val="000000"/>
          <w:sz w:val="22"/>
          <w:u w:val="single"/>
        </w:rPr>
        <w:t>No Other Duties, etc</w:t>
      </w:r>
      <w:r>
        <w:rPr>
          <w:rFonts w:ascii="Times New Roman" w:hAnsi="Times New Roman"/>
          <w:color w:val="000000"/>
          <w:sz w:val="22"/>
        </w:rPr>
        <w:t>. Anything herein to the contrary notwithstanding, none of the bookrunners, arrangers, documentation agents or syndication agents listed on the cover page hereof shall have any powers, duties or responsibilities under this Agreement or any other Loan Document, except in its capacity, as applicable, as the Administrative Agent, a Lender or Issuing Bank hereunder, but all such Persons shall have the benefit of the indemnities provided for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9.13 </w:t>
      </w:r>
      <w:r>
        <w:rPr>
          <w:rFonts w:ascii="Times New Roman" w:hAnsi="Times New Roman"/>
          <w:color w:val="000000"/>
          <w:sz w:val="22"/>
          <w:u w:val="single"/>
        </w:rPr>
        <w:t>Right to Realize on Collateral and Enforce Guarantee</w:t>
      </w:r>
      <w:r>
        <w:rPr>
          <w:rFonts w:ascii="Times New Roman" w:hAnsi="Times New Roman"/>
          <w:color w:val="000000"/>
          <w:sz w:val="22"/>
        </w:rPr>
        <w:t>. Anything contained in any of the Loan Documents to the contrary notwithstanding, the Borrower, the Administrative Agent each Lender, and the Issuing Bank hereby agree that (i) no Lender or Issuing Bank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and the Issuing Bank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use and apply any of the Obligations as a credit on account of the purchase price for any collateral payable by the Administrative Agent at such sale or other disposition.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9.14 </w:t>
      </w:r>
      <w:r>
        <w:rPr>
          <w:rFonts w:ascii="Times New Roman" w:hAnsi="Times New Roman"/>
          <w:color w:val="000000"/>
          <w:sz w:val="22"/>
          <w:u w:val="single"/>
        </w:rPr>
        <w:t>Hedging Obligations and Bank Product Obligations</w:t>
      </w:r>
      <w:r>
        <w:rPr>
          <w:rFonts w:ascii="Times New Roman" w:hAnsi="Times New Roman"/>
          <w:color w:val="000000"/>
          <w:sz w:val="22"/>
        </w:rPr>
        <w:t xml:space="preserve">. No Bank Product Provider or Lender-Related Hedge Provider that obtains the benefits of </w:t>
      </w:r>
      <w:r>
        <w:rPr>
          <w:rFonts w:ascii="Times New Roman" w:hAnsi="Times New Roman"/>
          <w:color w:val="000000"/>
          <w:sz w:val="22"/>
          <w:u w:val="single"/>
        </w:rPr>
        <w:t>Section 8.2</w:t>
      </w:r>
      <w:r>
        <w:rPr>
          <w:rFonts w:ascii="Times New Roman" w:hAnsi="Times New Roman"/>
          <w:color w:val="000000"/>
          <w:sz w:val="22"/>
        </w:rPr>
        <w:t xml:space="preserve">,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to the contrary, the Administrative Agent shall not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pStyle w:val="TextBody"/>
        <w:bidi w:val="0"/>
        <w:spacing w:before="240" w:after="283"/>
        <w:jc w:val="both"/>
        <w:rPr>
          <w:rFonts w:ascii="Times New Roman" w:hAnsi="Times New Roman"/>
          <w:sz w:val="20"/>
        </w:rPr>
      </w:pPr>
      <w:bookmarkStart w:id="468" w:name="section_9_15_erroneous_payments_"/>
      <w:bookmarkEnd w:id="468"/>
      <w:r>
        <w:rPr>
          <w:rFonts w:ascii="Times New Roman" w:hAnsi="Times New Roman"/>
          <w:color w:val="000000"/>
          <w:sz w:val="22"/>
        </w:rPr>
        <w:t xml:space="preserve">Section 9.15 </w:t>
      </w:r>
      <w:r>
        <w:rPr>
          <w:rFonts w:ascii="Times New Roman" w:hAnsi="Times New Roman"/>
          <w:color w:val="000000"/>
          <w:sz w:val="22"/>
          <w:u w:val="single"/>
        </w:rPr>
        <w:t>Erroneous Payments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If the Administrative Agent notifies a Lender, the Issuing Bank or any other Secured Party, or any Person who has received funds on behalf of a Lender, the Issuing Bank or any other Secured Party (any such Lender, Issuing Bank, Secured Party or other recipient, a “</w:t>
      </w:r>
      <w:r>
        <w:rPr>
          <w:rFonts w:ascii="Times New Roman" w:hAnsi="Times New Roman"/>
          <w:color w:val="000000"/>
          <w:sz w:val="22"/>
          <w:u w:val="single"/>
        </w:rPr>
        <w:t>Payment Recipient</w:t>
      </w:r>
      <w:r>
        <w:rPr>
          <w:color w:val="000000"/>
        </w:rPr>
        <w:t>”</w:t>
      </w:r>
      <w:r>
        <w:rPr>
          <w:rFonts w:ascii="Times New Roman" w:hAnsi="Times New Roman"/>
          <w:color w:val="000000"/>
          <w:sz w:val="22"/>
        </w:rPr>
        <w:t xml:space="preserve">), that the Administrative Agent has determined in its sole discretion (whether or not after receipt of any notice under </w:t>
      </w:r>
      <w:r>
        <w:rPr>
          <w:rFonts w:ascii="Times New Roman" w:hAnsi="Times New Roman"/>
          <w:color w:val="000000"/>
          <w:sz w:val="22"/>
          <w:u w:val="single"/>
        </w:rPr>
        <w:t>Section 9.15(b)</w:t>
      </w:r>
      <w:r>
        <w:rPr>
          <w:rFonts w:ascii="Times New Roman" w:hAnsi="Times New Roman"/>
          <w:color w:val="000000"/>
          <w:sz w:val="22"/>
        </w:rPr>
        <w:t>) that any funds received by such Payment Recipient from the Administrative Agent or any of its Affiliates were erroneously transmitted to, or otherwise erroneously or mistakenly received by, such Payment Recipient (whether or not known to such Lender, the Issuing Bank, such Secured Party or other Payment Recipient on its behalf) (any such funds, whether received as a payment, prepayment or repayment of principal, interest, fees, distribution or otherwise, individually and collectively, an “</w:t>
      </w:r>
      <w:r>
        <w:rPr>
          <w:rFonts w:ascii="Times New Roman" w:hAnsi="Times New Roman"/>
          <w:color w:val="000000"/>
          <w:sz w:val="22"/>
          <w:u w:val="single"/>
        </w:rPr>
        <w:t>Erroneous Payment</w:t>
      </w:r>
      <w:r>
        <w:rPr>
          <w:color w:val="000000"/>
        </w:rPr>
        <w:t>”</w:t>
      </w:r>
      <w:r>
        <w:rPr>
          <w:rFonts w:ascii="Times New Roman" w:hAnsi="Times New Roman"/>
          <w:color w:val="000000"/>
          <w:sz w:val="22"/>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the Issuing Bank or such other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color w:val="000000"/>
          <w:sz w:val="22"/>
          <w:u w:val="single"/>
        </w:rPr>
        <w:t>Section 9.15(a)</w:t>
      </w:r>
      <w:r>
        <w:rPr>
          <w:color w:val="000000"/>
        </w:rPr>
        <w:t xml:space="preserve"> </w:t>
      </w:r>
      <w:r>
        <w:rPr>
          <w:rFonts w:ascii="Times New Roman" w:hAnsi="Times New Roman"/>
          <w:color w:val="000000"/>
          <w:sz w:val="22"/>
        </w:rPr>
        <w:t>shall be conclusive, absent manifest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Without limiting </w:t>
      </w:r>
      <w:r>
        <w:rPr>
          <w:rFonts w:ascii="Times New Roman" w:hAnsi="Times New Roman"/>
          <w:color w:val="000000"/>
          <w:sz w:val="22"/>
          <w:u w:val="single"/>
        </w:rPr>
        <w:t>Section 9.15(a)</w:t>
      </w:r>
      <w:r>
        <w:rPr>
          <w:rFonts w:ascii="Times New Roman" w:hAnsi="Times New Roman"/>
          <w:color w:val="000000"/>
          <w:sz w:val="22"/>
        </w:rPr>
        <w:t>, each Lender, the Issuing Bank, each Secured Party, or any other Person who has received funds on behalf of a Lender, the Issuing Bank or any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(z) that such Lender, the Issuing Bank or such Secured Party, or other such recipient, otherwise becomes aware was transmitted, or received, in error or by mistake (in whole or in part) in each case: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 in the case of immediately preceding </w:t>
      </w:r>
      <w:r>
        <w:rPr>
          <w:rFonts w:ascii="Times New Roman" w:hAnsi="Times New Roman"/>
          <w:color w:val="000000"/>
          <w:sz w:val="22"/>
          <w:u w:val="single"/>
        </w:rPr>
        <w:t>clauses (x)</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2"/>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2"/>
          <w:u w:val="single"/>
        </w:rPr>
        <w:t>clause (z)</w:t>
      </w:r>
      <w:r>
        <w:rPr>
          <w:rFonts w:ascii="Times New Roman" w:hAnsi="Times New Roman"/>
          <w:color w:val="000000"/>
          <w:sz w:val="22"/>
        </w:rPr>
        <w:t>), in each case, with respect to such payment, prepayment or repayment;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such Lender, the Issuing Bank or such other Secured Party shall (and shall cause any other recipient that receives funds on its respective behalf to) promptly (and, in all events,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2"/>
          <w:u w:val="single"/>
        </w:rPr>
        <w:t>Section 9.15(b)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Lender, the Issuing Bank, and each other Secured Party hereby authorizes the Administrative Agent to set off, net and apply any and all amounts at any time owing to such Lender, the Issuing Bank or such other Secured Party under any Loan Document, or otherwise payable or distributable by the Administrative Agent to such Lender, the Issuing Bank or such other Secured Party from any source, against any amount due to the Administrative Agent under immediately preceding </w:t>
      </w:r>
      <w:r>
        <w:rPr>
          <w:rFonts w:ascii="Times New Roman" w:hAnsi="Times New Roman"/>
          <w:color w:val="000000"/>
          <w:sz w:val="22"/>
          <w:u w:val="single"/>
        </w:rPr>
        <w:t>paragraph (a)</w:t>
      </w:r>
      <w:r>
        <w:rPr>
          <w:color w:val="000000"/>
        </w:rPr>
        <w:t xml:space="preserve"> </w:t>
      </w:r>
      <w:r>
        <w:rPr>
          <w:rFonts w:ascii="Times New Roman" w:hAnsi="Times New Roman"/>
          <w:color w:val="000000"/>
          <w:sz w:val="22"/>
        </w:rPr>
        <w:t>or under the indemnification provisions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the event that an Erroneous Payment (or portion thereof) is not recovered by the Administrative Agent for any reason, after demand therefor by the Administrative Agent in accordance with </w:t>
      </w:r>
      <w:r>
        <w:rPr>
          <w:rFonts w:ascii="Times New Roman" w:hAnsi="Times New Roman"/>
          <w:color w:val="000000"/>
          <w:sz w:val="22"/>
          <w:u w:val="single"/>
        </w:rPr>
        <w:t>Section 9.15(a)</w:t>
      </w:r>
      <w:r>
        <w:rPr>
          <w:rFonts w:ascii="Times New Roman" w:hAnsi="Times New Roman"/>
          <w:color w:val="000000"/>
          <w:sz w:val="22"/>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hAnsi="Times New Roman"/>
          <w:color w:val="000000"/>
          <w:sz w:val="22"/>
          <w:u w:val="single"/>
        </w:rPr>
        <w:t>Erroneous Payment Return Deficiency</w:t>
      </w:r>
      <w:r>
        <w:rPr>
          <w:color w:val="000000"/>
        </w:rPr>
        <w:t>”</w:t>
      </w:r>
      <w:r>
        <w:rPr>
          <w:rFonts w:ascii="Times New Roman" w:hAnsi="Times New Roman"/>
          <w:color w:val="000000"/>
          <w:sz w:val="22"/>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hAnsi="Times New Roman"/>
          <w:color w:val="000000"/>
          <w:sz w:val="22"/>
          <w:u w:val="single"/>
        </w:rPr>
        <w:t>Erroneous Payment Impacted Class</w:t>
      </w:r>
      <w:r>
        <w:rPr>
          <w:color w:val="000000"/>
        </w:rPr>
        <w:t>”</w:t>
      </w:r>
      <w:r>
        <w:rPr>
          <w:rFonts w:ascii="Times New Roman" w:hAnsi="Times New Roman"/>
          <w:color w:val="000000"/>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color w:val="000000"/>
          <w:sz w:val="22"/>
          <w:u w:val="single"/>
        </w:rPr>
        <w:t>Erroneous Payment Deficiency Assignment</w:t>
      </w:r>
      <w:r>
        <w:rPr>
          <w:color w:val="000000"/>
        </w:rPr>
        <w:t>”</w:t>
      </w:r>
      <w:r>
        <w:rPr>
          <w:rFonts w:ascii="Times New Roman" w:hAnsi="Times New Roman"/>
          <w:color w:val="000000"/>
          <w:sz w:val="22"/>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 Platform as to which the Administrative Agent and such parties are participants) with respect to such Erroneous Payment Deficiency Assignment, and such Lender or Issuing Bank shall deliver any promissory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other Secured Party under the Loan Documents with respect to each Erroneous Payment Return Deficiency (the “</w:t>
      </w:r>
      <w:r>
        <w:rPr>
          <w:rFonts w:ascii="Times New Roman" w:hAnsi="Times New Roman"/>
          <w:color w:val="000000"/>
          <w:sz w:val="22"/>
          <w:u w:val="single"/>
        </w:rPr>
        <w:t>Erroneous Payment</w:t>
      </w:r>
      <w:r>
        <w:rPr>
          <w:color w:val="000000"/>
        </w:rPr>
        <w:t xml:space="preserve"> </w:t>
      </w:r>
      <w:r>
        <w:rPr>
          <w:rFonts w:ascii="Times New Roman" w:hAnsi="Times New Roman"/>
          <w:color w:val="000000"/>
          <w:sz w:val="22"/>
          <w:u w:val="single"/>
        </w:rPr>
        <w:t>Subrogation Rights</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party’s obligations, agreements and waivers under this </w:t>
      </w:r>
      <w:r>
        <w:rPr>
          <w:rFonts w:ascii="Times New Roman" w:hAnsi="Times New Roman"/>
          <w:color w:val="000000"/>
          <w:sz w:val="22"/>
          <w:u w:val="single"/>
        </w:rPr>
        <w:t>Section 9.15</w:t>
      </w:r>
      <w:r>
        <w:rPr>
          <w:color w:val="000000"/>
        </w:rPr>
        <w:t xml:space="preserve"> </w:t>
      </w:r>
      <w:r>
        <w:rPr>
          <w:rFonts w:ascii="Times New Roman" w:hAnsi="Times New Roman"/>
          <w:color w:val="000000"/>
          <w:sz w:val="22"/>
        </w:rPr>
        <w:t>shall survive the resignation or replacement of the Administrative Agent, any transfer of rights or obligations by, or the replacement of, a Lender or the Issuing Bank, the termination of the Commitments and/or the repayment, satisfaction or discharge of all Obligations (or any portion thereof) under any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sz w:val="20"/>
        </w:rPr>
      </w:pPr>
      <w:bookmarkStart w:id="469" w:name="article_x___the_guaranty"/>
      <w:bookmarkEnd w:id="469"/>
      <w:r>
        <w:rPr>
          <w:rFonts w:ascii="Times New Roman" w:hAnsi="Times New Roman"/>
          <w:color w:val="000000"/>
          <w:sz w:val="22"/>
        </w:rPr>
        <w:t>ARTICLE X</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THE GUARANTY</w:t>
      </w:r>
    </w:p>
    <w:p>
      <w:pPr>
        <w:pStyle w:val="TextBody"/>
        <w:bidi w:val="0"/>
        <w:spacing w:before="240" w:after="283"/>
        <w:jc w:val="both"/>
        <w:rPr>
          <w:rFonts w:ascii="Times New Roman" w:hAnsi="Times New Roman"/>
          <w:sz w:val="20"/>
        </w:rPr>
      </w:pPr>
      <w:bookmarkStart w:id="470" w:name="section_10_1_the_guaranty___each_of_the_"/>
      <w:bookmarkEnd w:id="470"/>
      <w:r>
        <w:rPr>
          <w:rFonts w:ascii="Times New Roman" w:hAnsi="Times New Roman"/>
          <w:color w:val="000000"/>
          <w:sz w:val="22"/>
        </w:rPr>
        <w:t xml:space="preserve">Section 10.1 </w:t>
      </w:r>
      <w:r>
        <w:rPr>
          <w:rFonts w:ascii="Times New Roman" w:hAnsi="Times New Roman"/>
          <w:color w:val="000000"/>
          <w:sz w:val="22"/>
          <w:u w:val="single"/>
        </w:rPr>
        <w:t>The Guaranty</w:t>
      </w:r>
      <w:r>
        <w:rPr>
          <w:rFonts w:ascii="Times New Roman" w:hAnsi="Times New Roman"/>
          <w:color w:val="000000"/>
          <w:sz w:val="22"/>
        </w:rPr>
        <w:t>. Each of the Guarantors hereby jointly and severally guarantees to the Administrative Agent, each Lender and/or each Affiliate of a Lender that enters into Bank Products or a Hedging Transaction with the Borrower or any Subsidiary,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is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pStyle w:val="TextBody"/>
        <w:bidi w:val="0"/>
        <w:spacing w:before="240" w:after="283"/>
        <w:jc w:val="both"/>
        <w:rPr>
          <w:rFonts w:ascii="Times New Roman" w:hAnsi="Times New Roman"/>
          <w:sz w:val="20"/>
        </w:rPr>
      </w:pPr>
      <w:bookmarkStart w:id="471" w:name="section_10_2_obligations_unconditional__"/>
      <w:bookmarkEnd w:id="471"/>
      <w:r>
        <w:rPr>
          <w:rFonts w:ascii="Times New Roman" w:hAnsi="Times New Roman"/>
          <w:color w:val="000000"/>
          <w:sz w:val="22"/>
        </w:rPr>
        <w:t xml:space="preserve">Section 10.2 </w:t>
      </w:r>
      <w:r>
        <w:rPr>
          <w:rFonts w:ascii="Times New Roman" w:hAnsi="Times New Roman"/>
          <w:color w:val="000000"/>
          <w:sz w:val="22"/>
          <w:u w:val="single"/>
        </w:rPr>
        <w:t>Obligations Unconditional</w:t>
      </w:r>
      <w:r>
        <w:rPr>
          <w:rFonts w:ascii="Times New Roman" w:hAnsi="Times New Roman"/>
          <w:color w:val="000000"/>
          <w:sz w:val="22"/>
        </w:rPr>
        <w:t xml:space="preserve">. The obligations of the Guarantors under </w:t>
      </w: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rPr>
        <w:t xml:space="preserve">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rPr>
        <w:t xml:space="preserve">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until such time as the Obligations have been paid in full and the Commitments have expired or terminated. Without limiting the generality of the foregoing, it is agreed that, to the fullest extent permitted by Law, the occurrence of any one or more of the following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not alter or impair the liability of any Guarantor hereunder, which shall remain absolute and unconditional as described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any time or from time to time, without notice to any Guarantor, the time for any performance of or compliance with any of the Obligations shall be extended, or such performance or compliance shall be waived;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of the acts mentioned in any of the provisions of any of the Loan Documents or any other document relating to the Obligations shall be done or omitted;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Lien granted to, or in favor of, the Administrative Agent or any other holder of the Obligations as security for any of the Obligations shall fail to attach or be perfected;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of the Obligations shall be determined to be void or voidable (including for the benefit of any creditor of any Guarantor) or shall be subordinated to the claims of any Person (including any creditor of any Guarantor).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pStyle w:val="TextBody"/>
        <w:bidi w:val="0"/>
        <w:spacing w:before="240" w:after="283"/>
        <w:jc w:val="both"/>
        <w:rPr>
          <w:rFonts w:ascii="Times New Roman" w:hAnsi="Times New Roman"/>
          <w:sz w:val="20"/>
        </w:rPr>
      </w:pPr>
      <w:bookmarkStart w:id="472" w:name="section_10_3_reinstatement___the_obligat"/>
      <w:bookmarkEnd w:id="472"/>
      <w:r>
        <w:rPr>
          <w:rFonts w:ascii="Times New Roman" w:hAnsi="Times New Roman"/>
          <w:color w:val="000000"/>
          <w:sz w:val="22"/>
        </w:rPr>
        <w:t xml:space="preserve">Section 10.3 </w:t>
      </w:r>
      <w:r>
        <w:rPr>
          <w:rFonts w:ascii="Times New Roman" w:hAnsi="Times New Roman"/>
          <w:color w:val="000000"/>
          <w:sz w:val="22"/>
          <w:u w:val="single"/>
        </w:rPr>
        <w:t>Reinstatement</w:t>
      </w:r>
      <w:r>
        <w:rPr>
          <w:rFonts w:ascii="Times New Roman" w:hAnsi="Times New Roman"/>
          <w:color w:val="000000"/>
          <w:sz w:val="22"/>
        </w:rPr>
        <w:t xml:space="preserve">. The obligations of each Guarantor under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pStyle w:val="TextBody"/>
        <w:bidi w:val="0"/>
        <w:spacing w:before="240" w:after="283"/>
        <w:jc w:val="both"/>
        <w:rPr>
          <w:rFonts w:ascii="Times New Roman" w:hAnsi="Times New Roman"/>
          <w:sz w:val="20"/>
        </w:rPr>
      </w:pPr>
      <w:bookmarkStart w:id="473" w:name="section_10_4_certain_additional_waivers_"/>
      <w:bookmarkEnd w:id="473"/>
      <w:r>
        <w:rPr>
          <w:rFonts w:ascii="Times New Roman" w:hAnsi="Times New Roman"/>
          <w:color w:val="000000"/>
          <w:sz w:val="22"/>
        </w:rPr>
        <w:t xml:space="preserve">Section 10.4 </w:t>
      </w:r>
      <w:r>
        <w:rPr>
          <w:rFonts w:ascii="Times New Roman" w:hAnsi="Times New Roman"/>
          <w:color w:val="000000"/>
          <w:sz w:val="22"/>
          <w:u w:val="single"/>
        </w:rPr>
        <w:t>Certain Additional Waivers</w:t>
      </w:r>
      <w:r>
        <w:rPr>
          <w:rFonts w:ascii="Times New Roman" w:hAnsi="Times New Roman"/>
          <w:color w:val="000000"/>
          <w:sz w:val="22"/>
        </w:rPr>
        <w:t xml:space="preserve">. Each Guarantor agrees that such Guarantor shall have no right of recourse to security for the Obligations, except through the exercise of rights of subrogation pursuant to </w:t>
      </w: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rPr>
        <w:t xml:space="preserve">and through the exercise of rights of contribution pursuant to </w:t>
      </w:r>
      <w:r>
        <w:rPr>
          <w:rFonts w:ascii="Times New Roman" w:hAnsi="Times New Roman"/>
          <w:color w:val="000000"/>
          <w:sz w:val="22"/>
          <w:u w:val="single"/>
        </w:rPr>
        <w:t>Section 10.6</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474" w:name="section_10_5_remedies___the_guarantors_a"/>
      <w:bookmarkEnd w:id="474"/>
      <w:r>
        <w:rPr>
          <w:rFonts w:ascii="Times New Roman" w:hAnsi="Times New Roman"/>
          <w:color w:val="000000"/>
          <w:sz w:val="22"/>
        </w:rPr>
        <w:t xml:space="preserve">Section 10.5 </w:t>
      </w:r>
      <w:r>
        <w:rPr>
          <w:rFonts w:ascii="Times New Roman" w:hAnsi="Times New Roman"/>
          <w:color w:val="000000"/>
          <w:sz w:val="22"/>
          <w:u w:val="single"/>
        </w:rPr>
        <w:t>Remedies</w:t>
      </w:r>
      <w:r>
        <w:rPr>
          <w:rFonts w:ascii="Times New Roman" w:hAnsi="Times New Roman"/>
          <w:color w:val="000000"/>
          <w:sz w:val="22"/>
        </w:rPr>
        <w:t xml:space="preserve">. The Guarantors agree that, to the fullest extent permitted by Law, as between the Guarantors, on the one hand, and the Administrative Agent and the other Secured Parties, on the other hand, the Obligations may be declared to be forthwith due and payable as specified in </w:t>
      </w:r>
      <w:r>
        <w:rPr>
          <w:rFonts w:ascii="Times New Roman" w:hAnsi="Times New Roman"/>
          <w:color w:val="000000"/>
          <w:sz w:val="22"/>
          <w:u w:val="single"/>
        </w:rPr>
        <w:t>Section 8.1</w:t>
      </w:r>
      <w:r>
        <w:rPr>
          <w:rFonts w:ascii="Times New Roman" w:hAnsi="Times New Roman"/>
          <w:color w:val="000000"/>
          <w:sz w:val="20"/>
        </w:rPr>
        <w:t xml:space="preserve"> </w:t>
      </w:r>
      <w:r>
        <w:rPr>
          <w:rFonts w:ascii="Times New Roman" w:hAnsi="Times New Roman"/>
          <w:color w:val="000000"/>
          <w:sz w:val="22"/>
        </w:rPr>
        <w:t xml:space="preserve">(and shall be deemed to have become automatically due and payable in the circumstances specified in </w:t>
      </w:r>
      <w:r>
        <w:rPr>
          <w:rFonts w:ascii="Times New Roman" w:hAnsi="Times New Roman"/>
          <w:color w:val="000000"/>
          <w:sz w:val="22"/>
          <w:u w:val="single"/>
        </w:rPr>
        <w:t>Section 8.1</w:t>
      </w:r>
      <w:r>
        <w:rPr>
          <w:rFonts w:ascii="Times New Roman" w:hAnsi="Times New Roman"/>
          <w:color w:val="000000"/>
          <w:sz w:val="22"/>
        </w:rPr>
        <w:t xml:space="preserve">) for purposes of </w:t>
      </w: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rPr>
        <w:t>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Person) shall forthwith become due and payable by the Guarantors for purposes of </w:t>
      </w:r>
      <w:r>
        <w:rPr>
          <w:rFonts w:ascii="Times New Roman" w:hAnsi="Times New Roman"/>
          <w:color w:val="000000"/>
          <w:sz w:val="22"/>
          <w:u w:val="single"/>
        </w:rPr>
        <w:t>Section 10.1</w:t>
      </w:r>
      <w:r>
        <w:rPr>
          <w:rFonts w:ascii="Times New Roman" w:hAnsi="Times New Roman"/>
          <w:color w:val="000000"/>
          <w:sz w:val="22"/>
        </w:rPr>
        <w:t>. The Guarantors acknowledge and agree that their obligations hereunder are secured in accordance with the terms of the Collateral Documents and that the Secured Parties may exercise their remedies thereunder in accordance with the terms thereof.</w:t>
      </w:r>
    </w:p>
    <w:p>
      <w:pPr>
        <w:pStyle w:val="TextBody"/>
        <w:bidi w:val="0"/>
        <w:spacing w:before="240" w:after="283"/>
        <w:jc w:val="both"/>
        <w:rPr>
          <w:rFonts w:ascii="Times New Roman" w:hAnsi="Times New Roman"/>
          <w:sz w:val="20"/>
        </w:rPr>
      </w:pPr>
      <w:bookmarkStart w:id="475" w:name="section_10_6_rights_of_contribution___th"/>
      <w:bookmarkEnd w:id="475"/>
      <w:r>
        <w:rPr>
          <w:rFonts w:ascii="Times New Roman" w:hAnsi="Times New Roman"/>
          <w:color w:val="000000"/>
          <w:sz w:val="22"/>
        </w:rPr>
        <w:t xml:space="preserve">Section 10.6 </w:t>
      </w:r>
      <w:r>
        <w:rPr>
          <w:rFonts w:ascii="Times New Roman" w:hAnsi="Times New Roman"/>
          <w:color w:val="000000"/>
          <w:sz w:val="22"/>
          <w:u w:val="single"/>
        </w:rPr>
        <w:t>Rights of Contribution</w:t>
      </w:r>
      <w:r>
        <w:rPr>
          <w:rFonts w:ascii="Times New Roman" w:hAnsi="Times New Roman"/>
          <w:color w:val="000000"/>
          <w:sz w:val="22"/>
        </w:rPr>
        <w:t>. 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pStyle w:val="TextBody"/>
        <w:bidi w:val="0"/>
        <w:spacing w:before="240" w:after="283"/>
        <w:jc w:val="both"/>
        <w:rPr>
          <w:rFonts w:ascii="Times New Roman" w:hAnsi="Times New Roman"/>
          <w:sz w:val="20"/>
        </w:rPr>
      </w:pPr>
      <w:bookmarkStart w:id="476" w:name="section_10_7_guarantee_of_payment__conti"/>
      <w:bookmarkEnd w:id="476"/>
      <w:r>
        <w:rPr>
          <w:rFonts w:ascii="Times New Roman" w:hAnsi="Times New Roman"/>
          <w:color w:val="000000"/>
          <w:sz w:val="22"/>
        </w:rPr>
        <w:t xml:space="preserve">Section 10.7 </w:t>
      </w:r>
      <w:r>
        <w:rPr>
          <w:rFonts w:ascii="Times New Roman" w:hAnsi="Times New Roman"/>
          <w:color w:val="000000"/>
          <w:sz w:val="22"/>
          <w:u w:val="single"/>
        </w:rPr>
        <w:t>Guarantee of Payment; Continuing Guarantee</w:t>
      </w:r>
      <w:r>
        <w:rPr>
          <w:rFonts w:ascii="Times New Roman" w:hAnsi="Times New Roman"/>
          <w:color w:val="000000"/>
          <w:sz w:val="22"/>
        </w:rPr>
        <w:t xml:space="preserve">. The guarantee in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is a guaranty of payment and not of collection, is a continuing guarantee, and shall apply to the Obligations whenever arising.</w:t>
      </w:r>
    </w:p>
    <w:p>
      <w:pPr>
        <w:pStyle w:val="TextBody"/>
        <w:bidi w:val="0"/>
        <w:spacing w:before="240" w:after="283"/>
        <w:jc w:val="both"/>
        <w:rPr>
          <w:rFonts w:ascii="Times New Roman" w:hAnsi="Times New Roman"/>
          <w:sz w:val="20"/>
        </w:rPr>
      </w:pPr>
      <w:bookmarkStart w:id="477" w:name="section_10_8_keepwell___each_qualified_e"/>
      <w:bookmarkEnd w:id="477"/>
      <w:r>
        <w:rPr>
          <w:rFonts w:ascii="Times New Roman" w:hAnsi="Times New Roman"/>
          <w:color w:val="000000"/>
          <w:sz w:val="22"/>
        </w:rPr>
        <w:t xml:space="preserve">Section 10.8 </w:t>
      </w:r>
      <w:r>
        <w:rPr>
          <w:rFonts w:ascii="Times New Roman" w:hAnsi="Times New Roman"/>
          <w:color w:val="000000"/>
          <w:sz w:val="22"/>
          <w:u w:val="single"/>
        </w:rPr>
        <w:t>Keepwell</w:t>
      </w:r>
      <w:r>
        <w:rPr>
          <w:rFonts w:ascii="Times New Roman" w:hAnsi="Times New Roman"/>
          <w:color w:val="000000"/>
          <w:sz w:val="22"/>
        </w:rPr>
        <w:t xml:space="preserve">. Each Qualified ECP Guarantor hereby jointly and severally absolutely, unconditionally and irrevocably undertakes to provide such funds or other support as may be needed from time to time by each Specified Loan Party to honor all of such Specified Loan Party’s obligations under this Agreement and the other Loan Documents in respect of Swap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each Qualified ECP Guarantor shall only be liable under this </w:t>
      </w:r>
      <w:r>
        <w:rPr>
          <w:rFonts w:ascii="Times New Roman" w:hAnsi="Times New Roman"/>
          <w:color w:val="000000"/>
          <w:sz w:val="22"/>
          <w:u w:val="single"/>
        </w:rPr>
        <w:t>Section 10.8</w:t>
      </w:r>
      <w:r>
        <w:rPr>
          <w:rFonts w:ascii="Times New Roman" w:hAnsi="Times New Roman"/>
          <w:color w:val="000000"/>
          <w:sz w:val="20"/>
        </w:rPr>
        <w:t xml:space="preserve"> </w:t>
      </w:r>
      <w:r>
        <w:rPr>
          <w:rFonts w:ascii="Times New Roman" w:hAnsi="Times New Roman"/>
          <w:color w:val="000000"/>
          <w:sz w:val="22"/>
        </w:rPr>
        <w:t xml:space="preserve">for the maximum amount of such liability that can be hereby incurred without rendering its obligations under this </w:t>
      </w:r>
      <w:r>
        <w:rPr>
          <w:rFonts w:ascii="Times New Roman" w:hAnsi="Times New Roman"/>
          <w:color w:val="000000"/>
          <w:sz w:val="22"/>
          <w:u w:val="single"/>
        </w:rPr>
        <w:t>Section 10.8</w:t>
      </w:r>
      <w:r>
        <w:rPr>
          <w:rFonts w:ascii="Times New Roman" w:hAnsi="Times New Roman"/>
          <w:color w:val="000000"/>
          <w:sz w:val="20"/>
        </w:rPr>
        <w:t xml:space="preserve"> </w:t>
      </w:r>
      <w:r>
        <w:rPr>
          <w:rFonts w:ascii="Times New Roman" w:hAnsi="Times New Roman"/>
          <w:color w:val="000000"/>
          <w:sz w:val="22"/>
        </w:rPr>
        <w:t xml:space="preserve">or otherwise under this Agreement voidable under applicable Law relating to fraudulent conveyance or fraudulent transfer, and not for any greater amount. The obligations of each Qualified ECP Guarantor under this </w:t>
      </w:r>
      <w:r>
        <w:rPr>
          <w:rFonts w:ascii="Times New Roman" w:hAnsi="Times New Roman"/>
          <w:color w:val="000000"/>
          <w:sz w:val="22"/>
          <w:u w:val="single"/>
        </w:rPr>
        <w:t>Section 10.8</w:t>
      </w:r>
      <w:r>
        <w:rPr>
          <w:rFonts w:ascii="Times New Roman" w:hAnsi="Times New Roman"/>
          <w:color w:val="000000"/>
          <w:sz w:val="20"/>
        </w:rPr>
        <w:t xml:space="preserve"> </w:t>
      </w:r>
      <w:r>
        <w:rPr>
          <w:rFonts w:ascii="Times New Roman" w:hAnsi="Times New Roman"/>
          <w:color w:val="000000"/>
          <w:sz w:val="22"/>
        </w:rPr>
        <w:t xml:space="preserve">shall remain in full force and effect until the Obligations have been indefeasibly paid and performed in full. Each Qualified ECP Guarantor intends that this </w:t>
      </w:r>
      <w:r>
        <w:rPr>
          <w:rFonts w:ascii="Times New Roman" w:hAnsi="Times New Roman"/>
          <w:color w:val="000000"/>
          <w:sz w:val="22"/>
          <w:u w:val="single"/>
        </w:rPr>
        <w:t>Section 10.8</w:t>
      </w:r>
      <w:r>
        <w:rPr>
          <w:rFonts w:ascii="Times New Roman" w:hAnsi="Times New Roman"/>
          <w:color w:val="000000"/>
          <w:sz w:val="20"/>
        </w:rPr>
        <w:t xml:space="preserve"> </w:t>
      </w:r>
      <w:r>
        <w:rPr>
          <w:rFonts w:ascii="Times New Roman" w:hAnsi="Times New Roman"/>
          <w:color w:val="000000"/>
          <w:sz w:val="22"/>
        </w:rPr>
        <w:t xml:space="preserve">constitute, and this </w:t>
      </w:r>
      <w:r>
        <w:rPr>
          <w:rFonts w:ascii="Times New Roman" w:hAnsi="Times New Roman"/>
          <w:color w:val="000000"/>
          <w:sz w:val="22"/>
          <w:u w:val="single"/>
        </w:rPr>
        <w:t>Section 10.8</w:t>
      </w:r>
      <w:r>
        <w:rPr>
          <w:rFonts w:ascii="Times New Roman" w:hAnsi="Times New Roman"/>
          <w:color w:val="000000"/>
          <w:sz w:val="20"/>
        </w:rPr>
        <w:t xml:space="preserve"> </w:t>
      </w:r>
      <w:r>
        <w:rPr>
          <w:rFonts w:ascii="Times New Roman" w:hAnsi="Times New Roman"/>
          <w:color w:val="000000"/>
          <w:sz w:val="22"/>
        </w:rPr>
        <w:t>shall be deemed to constitute, a “keepwell, support, or other agreement” for the benefit of each Specified Loan Party for all purposes of Section la(18)(A)(v)(II) of the Commodity Exchange Act.</w:t>
      </w:r>
    </w:p>
    <w:p>
      <w:pPr>
        <w:pStyle w:val="TextBody"/>
        <w:bidi w:val="0"/>
        <w:jc w:val="center"/>
        <w:rPr>
          <w:rFonts w:ascii="Times New Roman" w:hAnsi="Times New Roman"/>
          <w:color w:val="000000"/>
          <w:sz w:val="22"/>
        </w:rPr>
      </w:pPr>
      <w:r>
        <w:rPr>
          <w:rFonts w:ascii="Times New Roman" w:hAnsi="Times New Roman"/>
          <w:color w:val="000000"/>
          <w:sz w:val="22"/>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478" w:name="article_xi___miscellaneous"/>
      <w:bookmarkEnd w:id="478"/>
      <w:r>
        <w:rPr>
          <w:rFonts w:ascii="Times New Roman" w:hAnsi="Times New Roman"/>
          <w:color w:val="000000"/>
          <w:sz w:val="22"/>
        </w:rPr>
        <w:t>ARTICLE XI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MISCELLANEOUS</w:t>
      </w:r>
    </w:p>
    <w:p>
      <w:pPr>
        <w:pStyle w:val="TextBody"/>
        <w:bidi w:val="0"/>
        <w:spacing w:before="240" w:after="283"/>
        <w:jc w:val="both"/>
        <w:rPr>
          <w:rFonts w:ascii="Times New Roman" w:hAnsi="Times New Roman"/>
          <w:sz w:val="20"/>
        </w:rPr>
      </w:pPr>
      <w:bookmarkStart w:id="479" w:name="section_11_1_notices_"/>
      <w:bookmarkEnd w:id="479"/>
      <w:r>
        <w:rPr>
          <w:rFonts w:ascii="Times New Roman" w:hAnsi="Times New Roman"/>
          <w:color w:val="000000"/>
          <w:sz w:val="22"/>
        </w:rPr>
        <w:t xml:space="preserve">Section 11.1 </w:t>
      </w:r>
      <w:r>
        <w:rPr>
          <w:rFonts w:ascii="Times New Roman" w:hAnsi="Times New Roman"/>
          <w:color w:val="000000"/>
          <w:sz w:val="22"/>
          <w:u w:val="single"/>
        </w:rPr>
        <w:t>Notices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Written Notices</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telecopy,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14"/>
        <w:gridCol w:w="146"/>
        <w:gridCol w:w="7445"/>
      </w:tblGrid>
      <w:tr>
        <w:trPr/>
        <w:tc>
          <w:tcPr>
            <w:tcW w:w="2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5" w:type="dxa"/>
            <w:tcBorders/>
            <w:vAlign w:val="center"/>
          </w:tcPr>
          <w:p>
            <w:pPr>
              <w:pStyle w:val="TableContents"/>
              <w:bidi w:val="0"/>
              <w:spacing w:before="0" w:after="283"/>
              <w:jc w:val="left"/>
              <w:rPr>
                <w:sz w:val="4"/>
                <w:szCs w:val="4"/>
              </w:rPr>
            </w:pPr>
            <w:r>
              <w:rPr>
                <w:sz w:val="4"/>
                <w:szCs w:val="4"/>
              </w:rPr>
            </w:r>
          </w:p>
        </w:tc>
      </w:tr>
      <w:tr>
        <w:trPr/>
        <w:tc>
          <w:tcPr>
            <w:tcW w:w="2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any Loan Party: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BioTE Medical, LLC</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1875 W. Walnut Hill Lane, #100</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Irving, TX 75038 Attention: Robert Peterson</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Telephone Number: (469) 518-0837 E-mail: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 copies to (for Information purposes only): Cooley LLP</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500 Boylston Street, 14th Floor Boston, MA 02116-3736</w:t>
            </w:r>
          </w:p>
          <w:p>
            <w:pPr>
              <w:pStyle w:val="TableContents"/>
              <w:bidi w:val="0"/>
              <w:jc w:val="left"/>
              <w:rPr>
                <w:rFonts w:ascii="Times New Roman" w:hAnsi="Times New Roman"/>
                <w:color w:val="000000"/>
                <w:sz w:val="22"/>
              </w:rPr>
            </w:pPr>
            <w:r>
              <w:rPr>
                <w:rFonts w:ascii="Times New Roman" w:hAnsi="Times New Roman"/>
                <w:color w:val="000000"/>
                <w:sz w:val="22"/>
              </w:rPr>
              <w:t>Attn: Dallas Cruz</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the Administrative Agent: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Truist Bank</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303 Peachtree Street, N.E. / 25</w:t>
            </w:r>
            <w:r>
              <w:rPr>
                <w:rFonts w:ascii="Times New Roman" w:hAnsi="Times New Roman"/>
                <w:color w:val="000000"/>
                <w:sz w:val="15"/>
              </w:rPr>
              <w:t>th</w:t>
            </w:r>
            <w:r>
              <w:rPr>
                <w:rFonts w:ascii="Times New Roman" w:hAnsi="Times New Roman"/>
                <w:color w:val="000000"/>
                <w:sz w:val="22"/>
              </w:rPr>
              <w:t> Floor Atlanta, Georgia 30308</w:t>
            </w:r>
          </w:p>
          <w:p>
            <w:pPr>
              <w:pStyle w:val="TableContents"/>
              <w:bidi w:val="0"/>
              <w:jc w:val="left"/>
              <w:rPr>
                <w:rFonts w:ascii="Times New Roman" w:hAnsi="Times New Roman"/>
                <w:color w:val="000000"/>
                <w:sz w:val="22"/>
              </w:rPr>
            </w:pPr>
            <w:r>
              <w:rPr>
                <w:rFonts w:ascii="Times New Roman" w:hAnsi="Times New Roman"/>
                <w:color w:val="000000"/>
                <w:sz w:val="22"/>
              </w:rPr>
              <w:t>Mail Code: 803-05-25-10</w:t>
            </w:r>
          </w:p>
          <w:p>
            <w:pPr>
              <w:pStyle w:val="TableContents"/>
              <w:bidi w:val="0"/>
              <w:jc w:val="left"/>
              <w:rPr>
                <w:rFonts w:ascii="Times New Roman" w:hAnsi="Times New Roman"/>
                <w:color w:val="000000"/>
                <w:sz w:val="22"/>
              </w:rPr>
            </w:pPr>
            <w:r>
              <w:rPr>
                <w:rFonts w:ascii="Times New Roman" w:hAnsi="Times New Roman"/>
                <w:color w:val="000000"/>
                <w:sz w:val="22"/>
              </w:rPr>
              <w:t>Attention: Agency Services</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the Issuing Bank:</w:t>
            </w:r>
          </w:p>
        </w:tc>
      </w:tr>
      <w:tr>
        <w:trPr/>
        <w:tc>
          <w:tcPr>
            <w:tcW w:w="2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Truist Bank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7701 Airport Center Drive, Suite 2600</w:t>
            </w:r>
          </w:p>
          <w:p>
            <w:pPr>
              <w:pStyle w:val="TableContents"/>
              <w:bidi w:val="0"/>
              <w:jc w:val="left"/>
              <w:rPr>
                <w:rFonts w:ascii="Times New Roman" w:hAnsi="Times New Roman"/>
                <w:color w:val="000000"/>
                <w:sz w:val="22"/>
              </w:rPr>
            </w:pPr>
            <w:r>
              <w:rPr>
                <w:rFonts w:ascii="Times New Roman" w:hAnsi="Times New Roman"/>
                <w:color w:val="000000"/>
                <w:sz w:val="22"/>
              </w:rPr>
              <w:t>Greensboro, NC 27409</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Attention: Domestic Letters of Credit Email: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the Swingline Lender: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Truist Bank</w:t>
            </w:r>
          </w:p>
          <w:p>
            <w:pPr>
              <w:pStyle w:val="TableContents"/>
              <w:bidi w:val="0"/>
              <w:spacing w:before="0" w:after="283"/>
              <w:jc w:val="left"/>
              <w:rPr>
                <w:rFonts w:ascii="Times New Roman" w:hAnsi="Times New Roman"/>
                <w:sz w:val="22"/>
              </w:rPr>
            </w:pPr>
            <w:r>
              <w:rPr>
                <w:rFonts w:ascii="Times New Roman" w:hAnsi="Times New Roman"/>
                <w:color w:val="000000"/>
                <w:sz w:val="22"/>
              </w:rPr>
              <w:t>303 Peachtree Street, N.E./25</w:t>
            </w:r>
            <w:r>
              <w:rPr>
                <w:rFonts w:ascii="Times New Roman" w:hAnsi="Times New Roman"/>
                <w:color w:val="000000"/>
                <w:sz w:val="15"/>
              </w:rPr>
              <w:t>th</w:t>
            </w:r>
            <w:r>
              <w:rPr>
                <w:rFonts w:ascii="Times New Roman" w:hAnsi="Times New Roman"/>
                <w:color w:val="000000"/>
                <w:sz w:val="22"/>
              </w:rPr>
              <w:t> Floor Atlanta, Georgia 30308</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Mail Code: 803-05-25-10</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Agency Services</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w:t>
            </w:r>
          </w:p>
        </w:tc>
      </w:tr>
      <w:tr>
        <w:trPr/>
        <w:tc>
          <w:tcPr>
            <w:tcW w:w="2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any other Lender: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the address or facsimile number, set forth in the</w:t>
            </w:r>
          </w:p>
        </w:tc>
      </w:tr>
      <w:tr>
        <w:trPr/>
        <w:tc>
          <w:tcPr>
            <w:tcW w:w="2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Administrative Questionnaire or the Assignment and Acceptance executed by such Lender.</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Any party hereto may change its address or telecopy number for notices and other communications hereunder by notice to the other parties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agreement of the Administrative Agent, the Issuing Bank or any Lender herein to receive certain notices by telephone or facsimile is solely for the convenience and at the request of the Borrower. The Administrative Agent, the Issuing Bank and each Lender shall be entitled to rely on the authority of any Person purporting to be a Person authorized by the Borrower to give such notice and the Administrative Agent, the Issuing Bank and the Lenders shall not have any liability to the Borrower or other Person on account of any action taken or not taken by the Administrative Agent, the Issuing Bank or any Lender in reliance upon such telephonic or facsimile notice. The obligation of the Borrower to repay the Loans and all other Obligations hereunder shall not be affected in any way or to any extent by any failure of the Administrative Agent, the Issuing Bank or any Lender to receive written confirmation of any telephonic or facsimile notice or the receipt by the Administrative Agent, the Issuing Bank or any Lender of a confirmation which is at variance with the terms understood by the Administrative Agent, the Issuing Bank and such Lender to be contained in any such telephonic or facsimile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Electronic Communications</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foregoing shall not apply to notices to any Lender or the Issuing Bank if such Lender or the Issuing Bank, as applicable, has notified the Administrative Agent that it is incapable of receiving, or is unwilling to receive, notices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approval of such procedures may be limited to particular notices or communications.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of notification that such notice or communication is available and identifying the website address therefor;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in the case of </w:t>
      </w:r>
      <w:r>
        <w:rPr>
          <w:rFonts w:ascii="Times New Roman" w:hAnsi="Times New Roman"/>
          <w:color w:val="000000"/>
          <w:sz w:val="22"/>
          <w:u w:val="single"/>
        </w:rPr>
        <w:t>clauses (A)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above, if such notice or other communication is not sent during the normal business hours of the recipient, such notice or communication shall be deemed to have been sent at the opening of business on the next Business Day for the recipient.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 Each of Holdings and the Borrower acknowledges and agrees that the DQ List shall be deemed suitable for posting and may be posted by the Administrative Agent on the Platform, including the portion of the Platform that is designated for “public side”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the Issuing Bank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in no event shall the Administrative Agent or any Related Party have any liability to any Loan Party or any of their respective Subsidiaries, any Lender, the Issuing Bank or any other Person for indirect, special, incidental, consequential or punitive damages (as opposed to direct or actual damages) arising out of any Loan Party’s or the Administrative Agent’s transmission of Communications. “</w:t>
      </w:r>
      <w:r>
        <w:rPr>
          <w:rFonts w:ascii="Times New Roman" w:hAnsi="Times New Roman"/>
          <w:color w:val="000000"/>
          <w:sz w:val="22"/>
          <w:u w:val="single"/>
        </w:rPr>
        <w:t>Communications</w:t>
      </w:r>
      <w:r>
        <w:rPr>
          <w:color w:val="000000"/>
        </w:rPr>
        <w:t xml:space="preserve">” </w:t>
      </w:r>
      <w:r>
        <w:rPr>
          <w:rFonts w:ascii="Times New Roman" w:hAnsi="Times New Roman"/>
          <w:color w:val="000000"/>
          <w:sz w:val="22"/>
        </w:rPr>
        <w:t xml:space="preserve">shall mean,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w:t>
      </w:r>
      <w:r>
        <w:rPr>
          <w:rFonts w:ascii="Times New Roman" w:hAnsi="Times New Roman"/>
          <w:color w:val="000000"/>
          <w:sz w:val="22"/>
          <w:u w:val="single"/>
        </w:rPr>
        <w:t>Section 11.1</w:t>
      </w:r>
      <w:r>
        <w:rPr>
          <w:rFonts w:ascii="Times New Roman" w:hAnsi="Times New Roman"/>
          <w:color w:val="000000"/>
          <w:sz w:val="22"/>
        </w:rPr>
        <w:t>, including through the Platform.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Telephonic Notices</w:t>
      </w:r>
      <w:r>
        <w:rPr>
          <w:rFonts w:ascii="Times New Roman" w:hAnsi="Times New Roman"/>
          <w:color w:val="000000"/>
          <w:sz w:val="22"/>
        </w:rPr>
        <w:t xml:space="preserve">. In the case of any notices or other communications expressly permitted hereunder to be given by telephone, such notice shall be made (i) if to Holdings, the Borrower, the Administrative Agent, the Swingline Lender or the Issuing Bank, to the applicable telephone number set forth on </w:t>
      </w:r>
      <w:r>
        <w:rPr>
          <w:rFonts w:ascii="Times New Roman" w:hAnsi="Times New Roman"/>
          <w:color w:val="000000"/>
          <w:sz w:val="22"/>
          <w:u w:val="single"/>
        </w:rPr>
        <w:t>Section 11.1</w:t>
      </w:r>
      <w:r>
        <w:rPr>
          <w:color w:val="000000"/>
        </w:rPr>
        <w:t xml:space="preserve"> </w:t>
      </w:r>
      <w:r>
        <w:rPr>
          <w:rFonts w:ascii="Times New Roman" w:hAnsi="Times New Roman"/>
          <w:color w:val="000000"/>
          <w:sz w:val="22"/>
        </w:rPr>
        <w:t>(if any) and (ii) if to any other Lender, to the telephone number in its Administrative Questionnaire.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All such notices and other communications sent to any party hereto in accordance with the provisions of this Agreement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to the extent provided in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11.1(b)</w:t>
      </w:r>
      <w:r>
        <w:rPr>
          <w:color w:val="000000"/>
        </w:rPr>
        <w:t xml:space="preserve"> </w:t>
      </w:r>
      <w:r>
        <w:rPr>
          <w:rFonts w:ascii="Times New Roman" w:hAnsi="Times New Roman"/>
          <w:color w:val="000000"/>
          <w:sz w:val="22"/>
        </w:rPr>
        <w:t xml:space="preserve">and effective as provided in such </w:t>
      </w:r>
      <w:r>
        <w:rPr>
          <w:rFonts w:ascii="Times New Roman" w:hAnsi="Times New Roman"/>
          <w:color w:val="000000"/>
          <w:sz w:val="22"/>
          <w:u w:val="single"/>
        </w:rPr>
        <w:t>Section 11.1(b)</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notices and other communications to the Administrative Agent and the Issuing Bank pursuant to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shall not be effective until actually received by such Person. In no event shall a voice mail message be effective as a notice, communication or confirmation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80" w:name="section_11_2_waiver__amendments_"/>
      <w:bookmarkEnd w:id="480"/>
      <w:r>
        <w:rPr>
          <w:rFonts w:ascii="Times New Roman" w:hAnsi="Times New Roman"/>
          <w:color w:val="000000"/>
          <w:sz w:val="22"/>
        </w:rPr>
        <w:t xml:space="preserve">Section 11.2 </w:t>
      </w:r>
      <w:r>
        <w:rPr>
          <w:rFonts w:ascii="Times New Roman" w:hAnsi="Times New Roman"/>
          <w:color w:val="000000"/>
          <w:sz w:val="22"/>
          <w:u w:val="single"/>
        </w:rPr>
        <w:t>Waiver; Amendments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No failure or delay by the Administrative Agent, the Issuing Bank or any Lender in exercising any right or power hereunder or under any other Loan Document, and no course of dealing between any Loan Party and the Administrative Agent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hereunder and under the other Loan Documents are cumulative and are not exclusive of any rights or remedies provided by Law. No waiver of any provision of this Agreement or any other Loan Document or consent to any departure by any Loan Party therefrom shall in any event be effective unless the same shall be permitted by </w:t>
      </w:r>
      <w:r>
        <w:rPr>
          <w:rFonts w:ascii="Times New Roman" w:hAnsi="Times New Roman"/>
          <w:color w:val="000000"/>
          <w:sz w:val="22"/>
          <w:u w:val="single"/>
        </w:rPr>
        <w:t>Section 11.2(b)</w:t>
      </w:r>
      <w:r>
        <w:rPr>
          <w:rFonts w:ascii="Times New Roman" w:hAnsi="Times New Roman"/>
          <w:color w:val="000000"/>
          <w:sz w:val="22"/>
        </w:rPr>
        <w:t>,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the Issuing Bank may have had notice or knowledge of such Default or Event of Default at the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Except as otherwise provided in this Agreement, including, without limitation, as provided in </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 xml:space="preserve">with respect to the implementation of a Benchmark Replacement or Conforming Changes (as set forth therein), no amendment or waiver of any provision of this Agreement or of the other Loan Documents (other than the Fee Letter), nor consent to any departure by any Loan Party therefrom, shall in any event be effective unless the same shall be in writing and signed by the Loan Parties and the Required Lenders, or the Loan Parties and the Administrative Agent with the consent of the Required Lenders, and then such amendment, waiver or consent shall be effective only in the specific instance and for the specific purpose for which given;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in addition to the consent of the Required Lenders, no amendment, waiver or consent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extend or increase the Commitment of any Lender without the written consent of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reduce the principal amount of any Loan or LC Disbursement or reduce the rate of interest thereon, or reduce any fees or other amounts payable hereunder, without the written consent of each Lender affected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postpone the date fixed for any payment of any principal (excluding any mandatory prepayment) of, or interest on, any Loan or LC Disbursement or interest thereon or any fees hereunder or reduce the amount of, waive or excuse any such payment, or postpone the scheduled date for the termination or reduction of any Commitment, without the written consent of each Lender affected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(iv) (A) change </w:t>
      </w:r>
      <w:r>
        <w:rPr>
          <w:rFonts w:ascii="Times New Roman" w:hAnsi="Times New Roman"/>
          <w:color w:val="000000"/>
          <w:sz w:val="22"/>
          <w:u w:val="single"/>
        </w:rPr>
        <w:t>Section 2.21(b)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2.21(c)</w:t>
      </w:r>
      <w:r>
        <w:rPr>
          <w:color w:val="000000"/>
        </w:rPr>
        <w:t xml:space="preserve"> </w:t>
      </w:r>
      <w:r>
        <w:rPr>
          <w:rFonts w:ascii="Times New Roman" w:hAnsi="Times New Roman"/>
          <w:color w:val="000000"/>
          <w:sz w:val="22"/>
        </w:rPr>
        <w:t xml:space="preserve">in a manner that would alter the pro rata sharing of payments required thereby, (B) change </w:t>
      </w:r>
      <w:r>
        <w:rPr>
          <w:rFonts w:ascii="Times New Roman" w:hAnsi="Times New Roman"/>
          <w:color w:val="000000"/>
          <w:sz w:val="22"/>
          <w:u w:val="single"/>
        </w:rPr>
        <w:t>Section 2.8</w:t>
      </w:r>
      <w:r>
        <w:rPr>
          <w:color w:val="000000"/>
        </w:rPr>
        <w:t xml:space="preserve"> </w:t>
      </w:r>
      <w:r>
        <w:rPr>
          <w:rFonts w:ascii="Times New Roman" w:hAnsi="Times New Roman"/>
          <w:color w:val="000000"/>
          <w:sz w:val="22"/>
        </w:rPr>
        <w:t xml:space="preserve">in a manner that would alter the pro rata sharing of Commitment reductions required thereby, (C) change </w:t>
      </w:r>
      <w:r>
        <w:rPr>
          <w:rFonts w:ascii="Times New Roman" w:hAnsi="Times New Roman"/>
          <w:color w:val="000000"/>
          <w:sz w:val="22"/>
          <w:u w:val="single"/>
        </w:rPr>
        <w:t>Section 8.2</w:t>
      </w:r>
      <w:r>
        <w:rPr>
          <w:color w:val="000000"/>
        </w:rPr>
        <w:t xml:space="preserve"> </w:t>
      </w:r>
      <w:r>
        <w:rPr>
          <w:rFonts w:ascii="Times New Roman" w:hAnsi="Times New Roman"/>
          <w:color w:val="000000"/>
          <w:sz w:val="22"/>
        </w:rPr>
        <w:t xml:space="preserve">in a manner that would alter the pro rata sharing of payments or the order of application required thereby or (D) change any other provision of this Agreement or any of the other Loan Documents that addresses the matters described in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color w:val="000000"/>
        </w:rPr>
        <w:t xml:space="preserve"> </w:t>
      </w:r>
      <w:r>
        <w:rPr>
          <w:rFonts w:ascii="Times New Roman" w:hAnsi="Times New Roman"/>
          <w:color w:val="000000"/>
          <w:sz w:val="22"/>
        </w:rPr>
        <w:t xml:space="preserve">or permit any action which would directly or indirectly have the effect of amending any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the provisions described in this </w:t>
      </w:r>
      <w:r>
        <w:rPr>
          <w:rFonts w:ascii="Times New Roman" w:hAnsi="Times New Roman"/>
          <w:color w:val="000000"/>
          <w:sz w:val="22"/>
          <w:u w:val="single"/>
        </w:rPr>
        <w:t>clause (b)(iv)</w:t>
      </w:r>
      <w:r>
        <w:rPr>
          <w:rFonts w:ascii="Times New Roman" w:hAnsi="Times New Roman"/>
          <w:color w:val="000000"/>
          <w:sz w:val="22"/>
        </w:rPr>
        <w:t>, in each case without the written consent of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change any of the provisions of this </w:t>
      </w:r>
      <w:r>
        <w:rPr>
          <w:rFonts w:ascii="Times New Roman" w:hAnsi="Times New Roman"/>
          <w:color w:val="000000"/>
          <w:sz w:val="22"/>
          <w:u w:val="single"/>
        </w:rPr>
        <w:t>Section 11.2(b)</w:t>
      </w:r>
      <w:r>
        <w:rPr>
          <w:color w:val="000000"/>
        </w:rPr>
        <w:t xml:space="preserve"> </w:t>
      </w:r>
      <w:r>
        <w:rPr>
          <w:rFonts w:ascii="Times New Roman" w:hAnsi="Times New Roman"/>
          <w:color w:val="000000"/>
          <w:sz w:val="22"/>
        </w:rPr>
        <w:t>or the definition of “</w:t>
      </w:r>
      <w:r>
        <w:rPr>
          <w:rFonts w:ascii="Times New Roman" w:hAnsi="Times New Roman"/>
          <w:color w:val="000000"/>
          <w:sz w:val="22"/>
          <w:u w:val="single"/>
        </w:rPr>
        <w:t>Required Lenders</w:t>
      </w:r>
      <w:r>
        <w:rPr>
          <w:color w:val="000000"/>
        </w:rPr>
        <w:t xml:space="preserve">” </w:t>
      </w:r>
      <w:r>
        <w:rPr>
          <w:rFonts w:ascii="Times New Roman" w:hAnsi="Times New Roman"/>
          <w:color w:val="000000"/>
          <w:sz w:val="22"/>
        </w:rPr>
        <w:t>or “</w:t>
      </w:r>
      <w:r>
        <w:rPr>
          <w:rFonts w:ascii="Times New Roman" w:hAnsi="Times New Roman"/>
          <w:color w:val="000000"/>
          <w:sz w:val="22"/>
          <w:u w:val="single"/>
        </w:rPr>
        <w:t>Required Revolving Lenders</w:t>
      </w:r>
      <w:r>
        <w:rPr>
          <w:color w:val="000000"/>
        </w:rPr>
        <w:t xml:space="preserve">” </w:t>
      </w:r>
      <w:r>
        <w:rPr>
          <w:rFonts w:ascii="Times New Roman" w:hAnsi="Times New Roman"/>
          <w:color w:val="000000"/>
          <w:sz w:val="22"/>
        </w:rPr>
        <w:t>or any other provision hereof specifying the number or percentage of Lenders which are required to waive, amend or modify any rights hereunder or make any determination or grant any consent hereunder, without the consent of each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release the Borrower without the consent of each Lender, or, release all or substantially all of the Guarantors or limit the liability of all or substantially all of the Guarantors under any Guaranty, without the written consent of each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release all or substantially all of the Collateral (if any) securing any of the Obligations, without the written consent of each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subordinate (A) the payment priority of the Obligations or (B) except as otherwise permitted under </w:t>
      </w:r>
      <w:r>
        <w:rPr>
          <w:rFonts w:ascii="Times New Roman" w:hAnsi="Times New Roman"/>
          <w:color w:val="000000"/>
          <w:sz w:val="22"/>
          <w:u w:val="single"/>
        </w:rPr>
        <w:t>Section 9.11(c)</w:t>
      </w:r>
      <w:r>
        <w:rPr>
          <w:color w:val="000000"/>
        </w:rPr>
        <w:t xml:space="preserve"> </w:t>
      </w:r>
      <w:r>
        <w:rPr>
          <w:rFonts w:ascii="Times New Roman" w:hAnsi="Times New Roman"/>
          <w:color w:val="000000"/>
          <w:sz w:val="22"/>
        </w:rPr>
        <w:t>(as in effect on the Closing Date), subordinate the Liens granted to the Administrative Agent (for the benefit of the Secured Parties) in the Collateral, in each case, without the written consent of each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prior to the Revolving Commitments Termination Date, unless also signed by Required Revolving Lenders, no such amendment or waiver shall, (i) waive any Default or Event of Default for purposes of </w:t>
      </w:r>
      <w:r>
        <w:rPr>
          <w:rFonts w:ascii="Times New Roman" w:hAnsi="Times New Roman"/>
          <w:color w:val="000000"/>
          <w:sz w:val="22"/>
          <w:u w:val="single"/>
        </w:rPr>
        <w:t>Section 3.2</w:t>
      </w:r>
      <w:r>
        <w:rPr>
          <w:rFonts w:ascii="Times New Roman" w:hAnsi="Times New Roman"/>
          <w:color w:val="000000"/>
          <w:sz w:val="22"/>
        </w:rPr>
        <w:t xml:space="preserve">, (ii) amend, change, waive, discharge or terminate </w:t>
      </w:r>
      <w:r>
        <w:rPr>
          <w:rFonts w:ascii="Times New Roman" w:hAnsi="Times New Roman"/>
          <w:color w:val="000000"/>
          <w:sz w:val="22"/>
          <w:u w:val="single"/>
        </w:rPr>
        <w:t>Sections 3.2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8.1</w:t>
      </w:r>
      <w:r>
        <w:rPr>
          <w:color w:val="000000"/>
        </w:rPr>
        <w:t xml:space="preserve"> </w:t>
      </w:r>
      <w:r>
        <w:rPr>
          <w:rFonts w:ascii="Times New Roman" w:hAnsi="Times New Roman"/>
          <w:color w:val="000000"/>
          <w:sz w:val="22"/>
        </w:rPr>
        <w:t xml:space="preserve">in a manner adverse to such Lenders or (iii) amend, change, waive, discharge or terminate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(or any defined term used therein) or this </w:t>
      </w:r>
      <w:r>
        <w:rPr>
          <w:rFonts w:ascii="Times New Roman" w:hAnsi="Times New Roman"/>
          <w:color w:val="000000"/>
          <w:sz w:val="22"/>
          <w:u w:val="single"/>
        </w:rPr>
        <w:t>Section 11.2(b)(ix)</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further, that no amendment, waiver or consent shall amend, modify or otherwise affect the rights, duties or obligations of the Administrative Agent, the Swingline Lender or the Issuing Bank without the prior written consent of such Person. Notwithstanding anything to the contrary herein, (i)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(ii) this Agreement may be amended or amended and restated without the consent of any Lender (but with the consent of the Borrower and the Administrative Agent) if, upon giving effect to such amendment or amendment and restatement, such Lender shall no longer be a party to this Agreement (as so amended or amended and restated), the Commitments of such Lender shall have terminated (but such Lender shall continue to be entitled to the benefits of </w:t>
      </w:r>
      <w:r>
        <w:rPr>
          <w:rFonts w:ascii="Times New Roman" w:hAnsi="Times New Roman"/>
          <w:color w:val="000000"/>
          <w:sz w:val="22"/>
          <w:u w:val="single"/>
        </w:rPr>
        <w:t>Sections 2.18</w:t>
      </w:r>
      <w:r>
        <w:rPr>
          <w:rFonts w:ascii="Times New Roman" w:hAnsi="Times New Roman"/>
          <w:color w:val="000000"/>
          <w:sz w:val="22"/>
        </w:rPr>
        <w:t xml:space="preserve">, </w:t>
      </w:r>
      <w:r>
        <w:rPr>
          <w:rFonts w:ascii="Times New Roman" w:hAnsi="Times New Roman"/>
          <w:color w:val="000000"/>
          <w:sz w:val="22"/>
          <w:u w:val="single"/>
        </w:rPr>
        <w:t>2.19</w:t>
      </w:r>
      <w:r>
        <w:rPr>
          <w:rFonts w:ascii="Times New Roman" w:hAnsi="Times New Roman"/>
          <w:color w:val="000000"/>
          <w:sz w:val="22"/>
        </w:rPr>
        <w:t xml:space="preserve">, </w:t>
      </w:r>
      <w:r>
        <w:rPr>
          <w:rFonts w:ascii="Times New Roman" w:hAnsi="Times New Roman"/>
          <w:color w:val="000000"/>
          <w:sz w:val="22"/>
          <w:u w:val="single"/>
        </w:rPr>
        <w:t>2.20</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11.3</w:t>
      </w:r>
      <w:r>
        <w:rPr>
          <w:rFonts w:ascii="Times New Roman" w:hAnsi="Times New Roman"/>
          <w:color w:val="000000"/>
          <w:sz w:val="22"/>
        </w:rPr>
        <w:t>), such Lender shall have no other commitment or other obligation hereunder and shall have been paid in full all principal, interest and other amounts owing to it or accrued for its account under this Agreement;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(iv) the Required Lenders shall determine whether or not to allow a Loan Party to use cash collateral in the context of a bankruptcy or insolvency proceeding and such determination shall be binding on all of the Lenders and (v) if, following the Closing Date, the Administrative Agent and the Borrower shall have jointly identified an inconsistency, obvious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Loan Documents if the same is not objected to in writing by the Required Lenders within five (5) Business Days following receipt of notice thereof.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11.3 </w:t>
      </w:r>
      <w:r>
        <w:rPr>
          <w:rFonts w:ascii="Times New Roman" w:hAnsi="Times New Roman"/>
          <w:color w:val="000000"/>
          <w:sz w:val="22"/>
          <w:u w:val="single"/>
        </w:rPr>
        <w:t>Expenses; Indemnification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Loan Parties shall, on a joint and several basis, pay (i) all reasonable and documented, out-of-pocket costs and expenses of the Administrative Agent, the Lenders, the Arrangers and their respective Affiliates, including the reasonable and documented out-of-pocket fees, charges and disbursements of one (1) counsel for the Administrative Agent, the Lenders, the Arrangers and their respective Affiliates, taken as a whole, and, to the extent reasonably necessary, one (1) local counsel in each jurisdiction for the Administrative Agent, the Lenders, the Arrangers and their respective Affiliates, taken as a whole, and, to the extent reasonably necessary, one (1) regulatory counsel in any specialty for the Administrative Agent, the Lenders, the Arrangers and their respective Affiliates, taken as a whole, (and solely in the event of any actual or potential conflict of interest, one (1) additional counsel for the affected parties subject to such conflict who have informed the Administrative Agent of such conflict and thereafter retains such additional counsel with the Administrative Agent’s prior consent (not to be unreasonably withheld)),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including the reasonable and documented out-of-pocket fees, charges and disbursements of one (1) counsel for the Administrative Agent, the Lenders and the Arrangers and, to the extent reasonably necessary, special and one (1) local counsel in each jurisdiction for the Administrative Agent, the Arrangers and their respective Affiliates (and in the event of any actual or potential conflict of interest, one (1) additional counsel for the Administrative Agent, the Lenders, the Arrangers or Affiliate subject to such conflict), (ii) all reasonable and documented out-of-pocket expenses incurred by the Issuing Bank in connection with the issuance, amendment, renewal or extension of any Letter of Credit or any demand for payment thereunder and (iii) all reasonable and documented out-of-pocket costs and expenses (including, without limitation, the reasonable and documented out-of-pocket fees, charges and disbursements of one (1) counsel for the Administrative Agent, the Arrangers, the Issuing Bank and the Lenders and, to the extent reasonably necessary, special and one (1) local counsel in each jurisdiction for the Administrative Agent, the Arrangers, the Issuing Bank and the Lenders (and in the event of any actual or potential conflict of interest, one (1) additional counsel for the Administrative Agent, the Arrangers, the Issuing Bank, the Lender and Affiliate subject to such conflict)) incurred by the Administrative Agent, the Arrangers, the Issuing Bank or any Lender in connection with the enforcement or protection of its rights in connection with this Agreement and the other Loan Documents, including its rights under this </w:t>
      </w:r>
      <w:r>
        <w:rPr>
          <w:rFonts w:ascii="Times New Roman" w:hAnsi="Times New Roman"/>
          <w:color w:val="000000"/>
          <w:sz w:val="22"/>
          <w:u w:val="single"/>
        </w:rPr>
        <w:t>Section 11.3</w:t>
      </w:r>
      <w:r>
        <w:rPr>
          <w:rFonts w:ascii="Times New Roman" w:hAnsi="Times New Roman"/>
          <w:color w:val="000000"/>
          <w:sz w:val="22"/>
        </w:rPr>
        <w:t>, or in connection with the Loans made or any Letters of Credit issued hereunder, including all such out-of-pocket expenses incurred during any workout, restructuring or negotiations in respect of such Loans or Letters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The Loan Parties shall, on a joint and several basis, indemnify and hold harmless the Administrative Agent (and any sub-agent thereof), the Arrangers, each Lender and the Issuing Bank, and each Related Party of any of the foregoing Persons (each such Person being called an “</w:t>
      </w:r>
      <w:r>
        <w:rPr>
          <w:rFonts w:ascii="Times New Roman" w:hAnsi="Times New Roman"/>
          <w:color w:val="000000"/>
          <w:sz w:val="22"/>
          <w:u w:val="single"/>
        </w:rPr>
        <w:t>Indemnitee</w:t>
      </w:r>
      <w:r>
        <w:rPr>
          <w:color w:val="000000"/>
        </w:rPr>
        <w:t>”</w:t>
      </w:r>
      <w:r>
        <w:rPr>
          <w:rFonts w:ascii="Times New Roman" w:hAnsi="Times New Roman"/>
          <w:color w:val="000000"/>
          <w:sz w:val="22"/>
        </w:rPr>
        <w:t xml:space="preserve">) from and against any and all losses, claims, damages, penalties, liabilities and expenses (including the reasonable and documented out-of-pocket fees, charges and disbursements of one (1) counsel for all Indemnitees, taken as a whole, and, to the extent reasonably necessary, one (1) local counsel in each jurisdiction for the Indemnitees, and, to the extent reasonably necessary, one (1) regulatory counsel in any specialty for all Indemnitees, taken as a whole, (and solely in the event of any actual or potential conflict of interest, one (1) additional counsel for the affected Indemnitees subject to such conflict who have informed the Administrative Agent of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conflict and thereafter retains such additional counsel with the Administrative Agent’s prior consent (not to be unreasonably withheld))) incurred by any Indemnitee or asserted against any Indemnitee by any third party or by any Loan Party or any of their respective Subsidiaries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actual or alleged Environmental Liability related in any way to Holdings or any of its Subsidiaries, or (iv) any actual or prospective claim, litigation, investigation or proceeding relating to any of the foregoing, whether based on contract, tort or any other theory, whether brought by a third party or by any Loan Party or any of their respective Subsidiaries, and regardless of whether any Indemnitee is a party thereto, </w:t>
      </w:r>
      <w:r>
        <w:rPr>
          <w:rFonts w:ascii="Times New Roman" w:hAnsi="Times New Roman"/>
          <w:b/>
          <w:color w:val="000000"/>
          <w:sz w:val="22"/>
        </w:rPr>
        <w:t>IN ALL CASES, WHETHER OR NOT CAUSED BY OR ARISING, IN WHOLE OR IN PART, OUT OF THE COMPARATIVE, CONTRIBUTORY OR SOLE NEGLIGENCE OF THE INDEMNITEE</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(including any Related Indemnitee (as defined below)) or (y) any dispute between and among Indemnitees that does not involve an act or omission by Holdings, the Borrower or any of the Subsidiaries except that the Administrative Agent and the Arrangers shall be indemnified in their capacities as such to the extent that none of the exceptions set forth in </w:t>
      </w:r>
      <w:r>
        <w:rPr>
          <w:rFonts w:ascii="Times New Roman" w:hAnsi="Times New Roman"/>
          <w:color w:val="000000"/>
          <w:sz w:val="22"/>
          <w:u w:val="single"/>
        </w:rPr>
        <w:t>clause (x)</w:t>
      </w:r>
      <w:r>
        <w:rPr>
          <w:color w:val="000000"/>
        </w:rPr>
        <w:t xml:space="preserve"> </w:t>
      </w:r>
      <w:r>
        <w:rPr>
          <w:rFonts w:ascii="Times New Roman" w:hAnsi="Times New Roman"/>
          <w:color w:val="000000"/>
          <w:sz w:val="22"/>
        </w:rPr>
        <w:t xml:space="preserve">applies to such Person at such time. This </w:t>
      </w:r>
      <w:r>
        <w:rPr>
          <w:rFonts w:ascii="Times New Roman" w:hAnsi="Times New Roman"/>
          <w:color w:val="000000"/>
          <w:sz w:val="22"/>
          <w:u w:val="single"/>
        </w:rPr>
        <w:t>Section 11.3(b)</w:t>
      </w:r>
      <w:r>
        <w:rPr>
          <w:color w:val="000000"/>
        </w:rPr>
        <w:t xml:space="preserve"> </w:t>
      </w:r>
      <w:r>
        <w:rPr>
          <w:rFonts w:ascii="Times New Roman" w:hAnsi="Times New Roman"/>
          <w:color w:val="000000"/>
          <w:sz w:val="22"/>
        </w:rPr>
        <w:t xml:space="preserve">shall not apply with respect to Taxes other than any Taxes that represent losses, claims, damages, etc. arising from any non-Tax claim. The Borrower shall not be liable for any indirect, special, punitive or consequential damages (other than in respect of any such damages required to be indemnified pursuant to this </w:t>
      </w:r>
      <w:r>
        <w:rPr>
          <w:rFonts w:ascii="Times New Roman" w:hAnsi="Times New Roman"/>
          <w:color w:val="000000"/>
          <w:sz w:val="22"/>
          <w:u w:val="single"/>
        </w:rPr>
        <w:t>Section 11.3</w:t>
      </w:r>
      <w:r>
        <w:rPr>
          <w:rFonts w:ascii="Times New Roman" w:hAnsi="Times New Roman"/>
          <w:color w:val="000000"/>
          <w:sz w:val="22"/>
        </w:rPr>
        <w:t>). For the purposes of this Section, “Related Indemnitee” shall mean, with respect to an Indemnitee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provided that each reference to Controlled Affiliate or Controlling Person in this sentence pertains to a Controlled Affiliate or Controlling Person involved in the performance of the Indemnitee’s obligations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the extent that the Loan Parties fail to pay any amount required to be paid to the Administrative Agent, the Issuing Bank or the Swingline Lender under </w:t>
      </w:r>
      <w:r>
        <w:rPr>
          <w:rFonts w:ascii="Times New Roman" w:hAnsi="Times New Roman"/>
          <w:color w:val="000000"/>
          <w:sz w:val="22"/>
          <w:u w:val="single"/>
        </w:rPr>
        <w:t>Sections 11.3(a)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11.3(b)</w:t>
      </w:r>
      <w:r>
        <w:rPr>
          <w:color w:val="000000"/>
        </w:rPr>
        <w:t xml:space="preserve"> </w:t>
      </w:r>
      <w:r>
        <w:rPr>
          <w:rFonts w:ascii="Times New Roman" w:hAnsi="Times New Roman"/>
          <w:color w:val="000000"/>
          <w:sz w:val="22"/>
        </w:rPr>
        <w:t xml:space="preserve">hereof, each Lender severally agrees to pay to the Administrative Agent, the Issuing Bank or the Swingline Lender, as the case may be, such Lender’s Pro Rata Share (determined as of the time that the unreimbursed expense or indemnity payment is sought) of such unpaid amount; </w:t>
      </w:r>
      <w:r>
        <w:rPr>
          <w:rFonts w:ascii="Times New Roman" w:hAnsi="Times New Roman"/>
          <w:color w:val="000000"/>
          <w:sz w:val="22"/>
          <w:u w:val="single"/>
        </w:rPr>
        <w:t>provided</w:t>
      </w:r>
      <w:r>
        <w:rPr>
          <w:rFonts w:ascii="Times New Roman" w:hAnsi="Times New Roman"/>
          <w:color w:val="000000"/>
          <w:sz w:val="22"/>
        </w:rPr>
        <w:t>, that the unreimbursed expense or indemnified payment, claim, damage, liability or related expense, as the case may be, was incurred by or asserted against the Administrative Agent, the Issuing Bank or the Swingline Lender in its capacity as such.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To the extent permitted by applicable Law, no party hereto shall assert, and each party hereto hereby waives, any claim against each other party hereto and their respective Affiliates, directors, members, managers, employees, attorneys or agents, on any theory of liability, for special, indirect, consequential or punitive damages (as opposed to actual or direct damages) (whether or not the claim therefor is based on a contract, tort or duty imposed by any applicable legal requirement) arising out of, in connection with or as a result of, this Agreement, any other Loan Document or any agreement or instrument contemplated hereby, the transactions contemplated therein, any Loan or any Letter of Credit or the use of proceeds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nothing in this </w:t>
      </w:r>
      <w:r>
        <w:rPr>
          <w:rFonts w:ascii="Times New Roman" w:hAnsi="Times New Roman"/>
          <w:color w:val="000000"/>
          <w:sz w:val="22"/>
          <w:u w:val="single"/>
        </w:rPr>
        <w:t>Section 11.3(e)</w:t>
      </w:r>
      <w:r>
        <w:rPr>
          <w:color w:val="000000"/>
        </w:rPr>
        <w:t xml:space="preserve"> </w:t>
      </w:r>
      <w:r>
        <w:rPr>
          <w:rFonts w:ascii="Times New Roman" w:hAnsi="Times New Roman"/>
          <w:color w:val="000000"/>
          <w:sz w:val="22"/>
        </w:rPr>
        <w:t xml:space="preserve">shall relieve any Loan Party of any obligation it may have to indemnify any Indemnitee against special, indirect, consequential or punitive damages asserted against such Indemnitee by a third party with respect to which the applicable Indemnitee is entitled to indemnification as set forth in this </w:t>
      </w:r>
      <w:r>
        <w:rPr>
          <w:rFonts w:ascii="Times New Roman" w:hAnsi="Times New Roman"/>
          <w:color w:val="000000"/>
          <w:sz w:val="22"/>
          <w:u w:val="single"/>
        </w:rPr>
        <w:t>Section 11.3</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All amounts due under this </w:t>
      </w:r>
      <w:r>
        <w:rPr>
          <w:rFonts w:ascii="Times New Roman" w:hAnsi="Times New Roman"/>
          <w:color w:val="000000"/>
          <w:sz w:val="22"/>
          <w:u w:val="single"/>
        </w:rPr>
        <w:t>Section 11.3</w:t>
      </w:r>
      <w:r>
        <w:rPr>
          <w:color w:val="000000"/>
        </w:rPr>
        <w:t xml:space="preserve"> </w:t>
      </w:r>
      <w:r>
        <w:rPr>
          <w:rFonts w:ascii="Times New Roman" w:hAnsi="Times New Roman"/>
          <w:color w:val="000000"/>
          <w:sz w:val="22"/>
        </w:rPr>
        <w:t>shall be payable promptly after written demand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11.4 </w:t>
      </w:r>
      <w:r>
        <w:rPr>
          <w:rFonts w:ascii="Times New Roman" w:hAnsi="Times New Roman"/>
          <w:color w:val="000000"/>
          <w:sz w:val="22"/>
          <w:u w:val="single"/>
        </w:rPr>
        <w:t>Successors and Assigns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each Lender, and the Issuing Bank, and no Lender may assign or otherwise transfer any of its rights or obligations hereunder except (i) to an assignee in accordance with the provisions of </w:t>
      </w:r>
      <w:r>
        <w:rPr>
          <w:rFonts w:ascii="Times New Roman" w:hAnsi="Times New Roman"/>
          <w:color w:val="000000"/>
          <w:sz w:val="22"/>
          <w:u w:val="single"/>
        </w:rPr>
        <w:t>Section 11.4(b)</w:t>
      </w:r>
      <w:r>
        <w:rPr>
          <w:rFonts w:ascii="Times New Roman" w:hAnsi="Times New Roman"/>
          <w:color w:val="000000"/>
          <w:sz w:val="22"/>
        </w:rPr>
        <w:t xml:space="preserve">, (ii) by way of participation in accordance with the provisions of </w:t>
      </w:r>
      <w:r>
        <w:rPr>
          <w:rFonts w:ascii="Times New Roman" w:hAnsi="Times New Roman"/>
          <w:color w:val="000000"/>
          <w:sz w:val="22"/>
          <w:u w:val="single"/>
        </w:rPr>
        <w:t>Section 11.4(d)</w:t>
      </w:r>
      <w:r>
        <w:rPr>
          <w:color w:val="000000"/>
        </w:rPr>
        <w:t xml:space="preserve"> </w:t>
      </w:r>
      <w:r>
        <w:rPr>
          <w:rFonts w:ascii="Times New Roman" w:hAnsi="Times New Roman"/>
          <w:color w:val="000000"/>
          <w:sz w:val="22"/>
        </w:rPr>
        <w:t xml:space="preserve">or (iii) by way of pledge or assignment of a security interest subject to the restrictions of </w:t>
      </w:r>
      <w:r>
        <w:rPr>
          <w:rFonts w:ascii="Times New Roman" w:hAnsi="Times New Roman"/>
          <w:color w:val="000000"/>
          <w:sz w:val="22"/>
          <w:u w:val="single"/>
        </w:rPr>
        <w:t>Section 11.4(f)</w:t>
      </w:r>
      <w:r>
        <w:rPr>
          <w:color w:val="000000"/>
        </w:rPr>
        <w:t xml:space="preserve"> </w:t>
      </w:r>
      <w:r>
        <w:rPr>
          <w:rFonts w:ascii="Times New Roman" w:hAnsi="Times New Roman"/>
          <w:color w:val="000000"/>
          <w:sz w:val="22"/>
        </w:rPr>
        <w:t xml:space="preserve">(and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11.4(d)</w:t>
      </w:r>
      <w:r>
        <w:rPr>
          <w:color w:val="000000"/>
        </w:rPr>
        <w:t xml:space="preserve"> </w:t>
      </w:r>
      <w:r>
        <w:rPr>
          <w:rFonts w:ascii="Times New Roman" w:hAnsi="Times New Roman"/>
          <w:color w:val="000000"/>
          <w:sz w:val="22"/>
        </w:rPr>
        <w:t>and, to the extent expressly contemplated hereby, the Related Parties of each of the Administrative Agent and the Lenders) any legal or equitable right, remedy or claim under or by reason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Any Lender may at any time assign to one or more assignees all or a portion of its rights and obligations under this Agreement (including all or a portion of its Commitments, Loans, and other Revolving Credit Exposure at the time owing to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any such assignment shall be subject to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Minimum Amounts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in any case not described in </w:t>
      </w:r>
      <w:r>
        <w:rPr>
          <w:rFonts w:ascii="Times New Roman" w:hAnsi="Times New Roman"/>
          <w:color w:val="000000"/>
          <w:sz w:val="22"/>
          <w:u w:val="single"/>
        </w:rPr>
        <w:t>Section 11.4(b)(i)(A)</w:t>
      </w:r>
      <w:r>
        <w:rPr>
          <w:rFonts w:ascii="Times New Roman" w:hAnsi="Times New Roman"/>
          <w:color w:val="000000"/>
          <w:sz w:val="22"/>
        </w:rPr>
        <w:t xml:space="preserve">, the aggregate amount of the Commitment (which for this purpose includes Loans and Revolving Credit Exposure outstanding thereunder) or, if the applicable Commitment is not then in effect, the principal outstanding balance of the Loans and Revolving Credit Exposure of the assigning Lender subject to each such assignment (determined as of the date the Assignment and Acceptance with respect to such assignment is delivered to the </w:t>
      </w:r>
    </w:p>
    <w:p>
      <w:pPr>
        <w:pStyle w:val="TextBody"/>
        <w:bidi w:val="0"/>
        <w:jc w:val="center"/>
        <w:rPr>
          <w:rFonts w:ascii="Times New Roman" w:hAnsi="Times New Roman"/>
          <w:color w:val="000000"/>
          <w:sz w:val="22"/>
        </w:rPr>
      </w:pPr>
      <w:r>
        <w:rPr>
          <w:rFonts w:ascii="Times New Roman" w:hAnsi="Times New Roman"/>
          <w:color w:val="000000"/>
          <w:sz w:val="22"/>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Administrative Agent or, if “Trade Date” is specified in the Assignment and Acceptance, as of the Trade Date) shall not be less than $1,000,000 with respect to Term Loans and $1,000,000 with respect to Revolving Loans and in minimum increments of $1,000,000, unless each of the Administrative Agent and, so long as no Event of Default has occurred and is continuing, the Borrower otherwise consents (each such consent not to be unreasonably withheld or delayed).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u w:val="single"/>
        </w:rPr>
        <w:t>Proportionate Amounts</w:t>
      </w:r>
      <w:r>
        <w:rPr>
          <w:rFonts w:ascii="Times New Roman" w:hAnsi="Times New Roman"/>
          <w:color w:val="000000"/>
          <w:sz w:val="22"/>
        </w:rPr>
        <w:t xml:space="preserve">. Each partial assignment shall be made as an assignment of a proportionate part of all the assigning Lender’s rights and obligations under this Agreement with respect to the Loans, other Revolving Credit Exposure or the Commitments assigned, except that this </w:t>
      </w:r>
      <w:r>
        <w:rPr>
          <w:rFonts w:ascii="Times New Roman" w:hAnsi="Times New Roman"/>
          <w:color w:val="000000"/>
          <w:sz w:val="22"/>
          <w:u w:val="single"/>
        </w:rPr>
        <w:t>Section 11.4(b)(ii)</w:t>
      </w:r>
      <w:r>
        <w:rPr>
          <w:color w:val="000000"/>
        </w:rPr>
        <w:t xml:space="preserve"> </w:t>
      </w:r>
      <w:r>
        <w:rPr>
          <w:rFonts w:ascii="Times New Roman" w:hAnsi="Times New Roman"/>
          <w:color w:val="000000"/>
          <w:sz w:val="22"/>
        </w:rPr>
        <w:t>shall not prohibit any Lender from assigning all or a portion of its rights and obligations among separate Commitments on a non-</w:t>
      </w:r>
      <w:r>
        <w:rPr>
          <w:rFonts w:ascii="Times New Roman" w:hAnsi="Times New Roman"/>
          <w:i/>
          <w:color w:val="000000"/>
          <w:sz w:val="22"/>
        </w:rPr>
        <w:t xml:space="preserve">pro rata </w:t>
      </w:r>
      <w:r>
        <w:rPr>
          <w:rFonts w:ascii="Times New Roman" w:hAnsi="Times New Roman"/>
          <w:color w:val="000000"/>
          <w:sz w:val="22"/>
        </w:rPr>
        <w:t>basis.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Required Consents</w:t>
      </w:r>
      <w:r>
        <w:rPr>
          <w:rFonts w:ascii="Times New Roman" w:hAnsi="Times New Roman"/>
          <w:color w:val="000000"/>
          <w:sz w:val="22"/>
        </w:rPr>
        <w:t xml:space="preserve">. No consent shall be required for any assignment except to the extent required by </w:t>
      </w:r>
      <w:r>
        <w:rPr>
          <w:rFonts w:ascii="Times New Roman" w:hAnsi="Times New Roman"/>
          <w:color w:val="000000"/>
          <w:sz w:val="22"/>
          <w:u w:val="single"/>
        </w:rPr>
        <w:t>Section 11.4(b)(i)(B)</w:t>
      </w:r>
      <w:r>
        <w:rPr>
          <w:color w:val="000000"/>
        </w:rPr>
        <w:t xml:space="preserve"> </w:t>
      </w:r>
      <w:r>
        <w:rPr>
          <w:rFonts w:ascii="Times New Roman" w:hAnsi="Times New Roman"/>
          <w:color w:val="000000"/>
          <w:sz w:val="22"/>
        </w:rPr>
        <w:t>and, in addition: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the Borrower (such consent not to be unreasonably withheld or delayed (it being understood and agreed that the Borrower’s refusal to consent to an assignment to a Disqualified Institution shall not be deemed unreasonable)) shall be required unless (x) a Specified Event of Default has occurred and is continuing at the time of such assignment or (y) such assignment is to a Lender, an Affiliate of a Lender or an Approved Fund;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the Administrative Agent (such consent not to be unreasonably withheld or delayed) shall be required for (x) assignments to a Person that is not a Lender with a Commitment or an Affiliate of a Lender or an Approved Fund and (y) assignments by Defaulting Lenders;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the Issuing Bank (such consent not to be unreasonably withheld or delayed) and the consent of the Swingline Lender (such consent not to be unreasonably withheld or delayed) shall be required for any assignment in respect of the Revolving Commitments.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Assignment and Acceptance</w:t>
      </w:r>
      <w:r>
        <w:rPr>
          <w:rFonts w:ascii="Times New Roman" w:hAnsi="Times New Roman"/>
          <w:color w:val="000000"/>
          <w:sz w:val="22"/>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Times New Roman" w:hAnsi="Times New Roman"/>
          <w:color w:val="000000"/>
          <w:sz w:val="22"/>
          <w:u w:val="single"/>
        </w:rPr>
        <w:t>Section 2.20(e)</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No Assignment to Certain Persons</w:t>
      </w:r>
      <w:r>
        <w:rPr>
          <w:rFonts w:ascii="Times New Roman" w:hAnsi="Times New Roman"/>
          <w:color w:val="000000"/>
          <w:sz w:val="22"/>
        </w:rPr>
        <w:t xml:space="preserve">. No such assignment shall be made to (A) the Borrower or any of the Borrower’s Affiliates or Subsidiaries, (B) to any Defaulting Lender or any of its Subsidiaries, or any Person who, upon becoming a Lender hereunder, would constitute any of the foregoing Persons described in this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or (C) any Disqualified Institution.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No Assignment to Natural Persons</w:t>
      </w:r>
      <w:r>
        <w:rPr>
          <w:rFonts w:ascii="Times New Roman" w:hAnsi="Times New Roman"/>
          <w:color w:val="000000"/>
          <w:sz w:val="22"/>
        </w:rPr>
        <w:t>. No such assignment shall be made to a natural person or a holding company, investment vehicle or trust for, or owned and operated by or for the primary benefit of, a natural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Certain Additional Payments</w:t>
      </w:r>
      <w:r>
        <w:rPr>
          <w:rFonts w:ascii="Times New Roman" w:hAnsi="Times New Roman"/>
          <w:color w:val="000000"/>
          <w:sz w:val="22"/>
        </w:rPr>
        <w:t xml:space="preserve">. In connection with any assignment of rights and obligations of any Defaulting Lender hereunder, no such assignment shall be effective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 the Swingline Lender and each other Lender hereunder (and interest accrued thereon), and (y) acquire (and fund as appropriate) its full pro rata share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Subject to acceptance and recording thereof by the Administrative Agent pursuant to </w:t>
      </w:r>
      <w:r>
        <w:rPr>
          <w:rFonts w:ascii="Times New Roman" w:hAnsi="Times New Roman"/>
          <w:color w:val="000000"/>
          <w:sz w:val="22"/>
          <w:u w:val="single"/>
        </w:rPr>
        <w:t>Section 11.4(c)</w:t>
      </w:r>
      <w:r>
        <w:rPr>
          <w:rFonts w:ascii="Times New Roman" w:hAnsi="Times New Roman"/>
          <w:color w:val="000000"/>
          <w:sz w:val="22"/>
        </w:rPr>
        <w:t xml:space="preserve">,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2.18</w:t>
      </w:r>
      <w:r>
        <w:rPr>
          <w:rFonts w:ascii="Times New Roman" w:hAnsi="Times New Roman"/>
          <w:color w:val="000000"/>
          <w:sz w:val="22"/>
        </w:rPr>
        <w:t xml:space="preserve">, </w:t>
      </w:r>
      <w:r>
        <w:rPr>
          <w:rFonts w:ascii="Times New Roman" w:hAnsi="Times New Roman"/>
          <w:color w:val="000000"/>
          <w:sz w:val="22"/>
          <w:u w:val="single"/>
        </w:rPr>
        <w:t>2.19</w:t>
      </w:r>
      <w:r>
        <w:rPr>
          <w:rFonts w:ascii="Times New Roman" w:hAnsi="Times New Roman"/>
          <w:color w:val="000000"/>
          <w:sz w:val="22"/>
        </w:rPr>
        <w:t xml:space="preserve">, </w:t>
      </w:r>
      <w:r>
        <w:rPr>
          <w:rFonts w:ascii="Times New Roman" w:hAnsi="Times New Roman"/>
          <w:color w:val="000000"/>
          <w:sz w:val="22"/>
          <w:u w:val="single"/>
        </w:rPr>
        <w:t>2.20</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11.3</w:t>
      </w:r>
      <w:r>
        <w:rPr>
          <w:rFonts w:ascii="Times New Roman" w:hAnsi="Times New Roman"/>
          <w:color w:val="000000"/>
          <w:sz w:val="20"/>
        </w:rPr>
        <w:t xml:space="preserve"> </w:t>
      </w:r>
      <w:r>
        <w:rPr>
          <w:rFonts w:ascii="Times New Roman" w:hAnsi="Times New Roman"/>
          <w:color w:val="000000"/>
          <w:sz w:val="22"/>
        </w:rPr>
        <w:t xml:space="preserve">with respect to facts and circumstances occurring prior to the effective date of such assignment;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hAnsi="Times New Roman"/>
          <w:color w:val="000000"/>
          <w:sz w:val="22"/>
          <w:u w:val="single"/>
        </w:rPr>
        <w:t>Section 11.4(d)</w:t>
      </w:r>
      <w:r>
        <w:rPr>
          <w:rFonts w:ascii="Times New Roman" w:hAnsi="Times New Roman"/>
          <w:color w:val="000000"/>
          <w:sz w:val="22"/>
        </w:rPr>
        <w:t>. If the consent of the Borrower to an assignment of Term Loans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the date notice thereof has actually been delivered by the assigning Lender (through the Administrative Agent) to the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The Administrative Agent, acting solely for this purpose as a non-fiduciary agent of the Borrower, shall maintain at one of its offices in Charlotte, North Carolina a copy of each Assignment and Acceptance delivered to it and a register for the recordation of the names and addresses of the Lenders, and the Commitments of, and principal amounts (and stated interest) of the Loans and Revolving Credit Exposure owing to, each Lender pursuant to the terms hereof from time to time (the “</w:t>
      </w:r>
      <w:r>
        <w:rPr>
          <w:rFonts w:ascii="Times New Roman" w:hAnsi="Times New Roman"/>
          <w:color w:val="000000"/>
          <w:sz w:val="22"/>
          <w:u w:val="single"/>
        </w:rPr>
        <w:t>Register</w:t>
      </w:r>
      <w:r>
        <w:rPr>
          <w:color w:val="000000"/>
        </w:rPr>
        <w:t>”</w:t>
      </w:r>
      <w:r>
        <w:rPr>
          <w:rFonts w:ascii="Times New Roman" w:hAnsi="Times New Roman"/>
          <w:color w:val="000000"/>
          <w:sz w:val="22"/>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Borrower’s non-fiduciary agent and solely with respect to the actions described in </w:t>
      </w:r>
      <w:r>
        <w:rPr>
          <w:rFonts w:ascii="Times New Roman" w:hAnsi="Times New Roman"/>
          <w:color w:val="000000"/>
          <w:sz w:val="22"/>
          <w:u w:val="single"/>
        </w:rPr>
        <w:t>Section 11.4</w:t>
      </w:r>
      <w:r>
        <w:rPr>
          <w:rFonts w:ascii="Times New Roman" w:hAnsi="Times New Roman"/>
          <w:color w:val="000000"/>
          <w:sz w:val="22"/>
        </w:rPr>
        <w:t xml:space="preserve">, and the Borrower hereby agrees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that, to the extent Truist Bank serves in such capacity, Truist Bank and its officers directors, employees, agents, sub-agents, and affiliates shall constitute “Indemnitees”.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Any Lender may at any time, without the consent of, or notice to, the Borrower, the Administrative Agent, the Swingline Lender or the Issuing Bank, sell participations to any Person (other than a natural person, the Borrower, any of the Borrower’s Affiliates or Subsidiaries or a Disqualified Institution) (each, a “</w:t>
      </w:r>
      <w:r>
        <w:rPr>
          <w:rFonts w:ascii="Times New Roman" w:hAnsi="Times New Roman"/>
          <w:color w:val="000000"/>
          <w:sz w:val="22"/>
          <w:u w:val="single"/>
        </w:rPr>
        <w:t>Participant</w:t>
      </w:r>
      <w:r>
        <w:rPr>
          <w:color w:val="000000"/>
        </w:rPr>
        <w:t>”</w:t>
      </w:r>
      <w:r>
        <w:rPr>
          <w:rFonts w:ascii="Times New Roman" w:hAnsi="Times New Roman"/>
          <w:color w:val="000000"/>
          <w:sz w:val="22"/>
        </w:rPr>
        <w:t xml:space="preserve">) in all or a portion of such Lender’s rights and/or obligations under this Agreement (including all or a portion of its Commitment and/or the Loans owing to it);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such Lender’s obligations under this Agreement shall remain unchanged, (ii) such Lender shall remain solely responsible to the other parties hereto for the performance of such obligations and (iii) the Borrower, the Administrative Agent, the Issuing Bank, the Swingline Lender and the other Lenders shall continue to deal solely and directly with such Lender in connection with such Lender’s rights and obligations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agreement or instrument may provide that such Lender will not, without the consent of the Participant, agree to any amendment, modification or waiver with respect to the following to the extent affecting such Participant: (i) increase the Commitment of such Lender; (ii) reduce the principal amount of any Loan or LC Disbursement or reduce the rate of interest thereon, or reduce any fees payable hereunder; (iii) postpone the date fixed for any payment of any principal of, or interest on, any Loan or LC Disbursement or any fees hereunder or reduce the amount of, waive or excuse any such payment, or postpone the scheduled date for the termination or reduction of any Commitment; (iv) change </w:t>
      </w:r>
      <w:r>
        <w:rPr>
          <w:rFonts w:ascii="Times New Roman" w:hAnsi="Times New Roman"/>
          <w:color w:val="000000"/>
          <w:sz w:val="22"/>
          <w:u w:val="single"/>
        </w:rPr>
        <w:t>Section 2.21(b)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2.21(c)</w:t>
      </w:r>
      <w:r>
        <w:rPr>
          <w:color w:val="000000"/>
        </w:rPr>
        <w:t xml:space="preserve"> </w:t>
      </w:r>
      <w:r>
        <w:rPr>
          <w:rFonts w:ascii="Times New Roman" w:hAnsi="Times New Roman"/>
          <w:color w:val="000000"/>
          <w:sz w:val="22"/>
        </w:rPr>
        <w:t xml:space="preserve">in a manner that would alter the </w:t>
      </w:r>
      <w:r>
        <w:rPr>
          <w:rFonts w:ascii="Times New Roman" w:hAnsi="Times New Roman"/>
          <w:i/>
          <w:color w:val="000000"/>
          <w:sz w:val="22"/>
        </w:rPr>
        <w:t xml:space="preserve">pro rata </w:t>
      </w:r>
      <w:r>
        <w:rPr>
          <w:rFonts w:ascii="Times New Roman" w:hAnsi="Times New Roman"/>
          <w:color w:val="000000"/>
          <w:sz w:val="22"/>
        </w:rPr>
        <w:t xml:space="preserve">sharing of payments required thereby; (v) change any of the provisions of </w:t>
      </w:r>
      <w:r>
        <w:rPr>
          <w:rFonts w:ascii="Times New Roman" w:hAnsi="Times New Roman"/>
          <w:color w:val="000000"/>
          <w:sz w:val="22"/>
          <w:u w:val="single"/>
        </w:rPr>
        <w:t>Section 11.2(b)</w:t>
      </w:r>
      <w:r>
        <w:rPr>
          <w:color w:val="000000"/>
        </w:rPr>
        <w:t xml:space="preserve"> </w:t>
      </w:r>
      <w:r>
        <w:rPr>
          <w:rFonts w:ascii="Times New Roman" w:hAnsi="Times New Roman"/>
          <w:color w:val="000000"/>
          <w:sz w:val="22"/>
        </w:rPr>
        <w:t xml:space="preserve">or the definition of “Required Lenders” or “Required Revolving Lenders” or any other provision hereof specifying the number or percentage of Lenders which are required to waive, amend or modify any rights hereunder or make any determination or grant any consent hereunder; (vi) release all or substantially all of the guarantors, or limit the liability of such guarantors, under any guaranty agreement guaranteeing any of the Obligations; or (vii) release all or substantially all collateral (if any) securing any of the Obligations. Subject to </w:t>
      </w:r>
      <w:r>
        <w:rPr>
          <w:rFonts w:ascii="Times New Roman" w:hAnsi="Times New Roman"/>
          <w:color w:val="000000"/>
          <w:sz w:val="22"/>
          <w:u w:val="single"/>
        </w:rPr>
        <w:t>Section 11.4(e)</w:t>
      </w:r>
      <w:r>
        <w:rPr>
          <w:rFonts w:ascii="Times New Roman" w:hAnsi="Times New Roman"/>
          <w:color w:val="000000"/>
          <w:sz w:val="22"/>
        </w:rPr>
        <w:t xml:space="preserve">, the Borrower agrees that each Participant shall be entitled to the benefits of </w:t>
      </w:r>
      <w:r>
        <w:rPr>
          <w:rFonts w:ascii="Times New Roman" w:hAnsi="Times New Roman"/>
          <w:color w:val="000000"/>
          <w:sz w:val="22"/>
          <w:u w:val="single"/>
        </w:rPr>
        <w:t>Sections 2.18</w:t>
      </w:r>
      <w:r>
        <w:rPr>
          <w:rFonts w:ascii="Times New Roman" w:hAnsi="Times New Roman"/>
          <w:color w:val="000000"/>
          <w:sz w:val="22"/>
        </w:rPr>
        <w:t xml:space="preserve">, </w:t>
      </w:r>
      <w:r>
        <w:rPr>
          <w:rFonts w:ascii="Times New Roman" w:hAnsi="Times New Roman"/>
          <w:color w:val="000000"/>
          <w:sz w:val="22"/>
          <w:u w:val="single"/>
        </w:rPr>
        <w:t>2.19</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2.20</w:t>
      </w:r>
      <w:r>
        <w:rPr>
          <w:color w:val="000000"/>
        </w:rPr>
        <w:t xml:space="preserve"> </w:t>
      </w:r>
      <w:r>
        <w:rPr>
          <w:rFonts w:ascii="Times New Roman" w:hAnsi="Times New Roman"/>
          <w:color w:val="000000"/>
          <w:sz w:val="22"/>
        </w:rPr>
        <w:t xml:space="preserve">to the same extent as if it were a Lender and had acquired its interest by assignment pursuant to </w:t>
      </w:r>
      <w:r>
        <w:rPr>
          <w:rFonts w:ascii="Times New Roman" w:hAnsi="Times New Roman"/>
          <w:color w:val="000000"/>
          <w:sz w:val="22"/>
          <w:u w:val="single"/>
        </w:rPr>
        <w:t>Section 11.4(b)</w:t>
      </w:r>
      <w:r>
        <w:rPr>
          <w:rFonts w:ascii="Times New Roman" w:hAnsi="Times New Roman"/>
          <w:color w:val="000000"/>
          <w:sz w:val="22"/>
        </w:rPr>
        <w:t xml:space="preserv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Participant agrees to be subject to </w:t>
      </w:r>
      <w:r>
        <w:rPr>
          <w:rFonts w:ascii="Times New Roman" w:hAnsi="Times New Roman"/>
          <w:color w:val="000000"/>
          <w:sz w:val="22"/>
          <w:u w:val="single"/>
        </w:rPr>
        <w:t>Section 2.24</w:t>
      </w:r>
      <w:r>
        <w:rPr>
          <w:color w:val="000000"/>
        </w:rPr>
        <w:t xml:space="preserve"> </w:t>
      </w:r>
      <w:r>
        <w:rPr>
          <w:rFonts w:ascii="Times New Roman" w:hAnsi="Times New Roman"/>
          <w:color w:val="000000"/>
          <w:sz w:val="22"/>
        </w:rPr>
        <w:t xml:space="preserve">as though it were a Lender. To the extent permitted by Law, each Participant also shall be entitled to the benefits of </w:t>
      </w:r>
      <w:r>
        <w:rPr>
          <w:rFonts w:ascii="Times New Roman" w:hAnsi="Times New Roman"/>
          <w:color w:val="000000"/>
          <w:sz w:val="22"/>
          <w:u w:val="single"/>
        </w:rPr>
        <w:t>Section 11.7</w:t>
      </w:r>
      <w:r>
        <w:rPr>
          <w:color w:val="000000"/>
        </w:rPr>
        <w:t xml:space="preserve"> </w:t>
      </w:r>
      <w:r>
        <w:rPr>
          <w:rFonts w:ascii="Times New Roman" w:hAnsi="Times New Roman"/>
          <w:color w:val="000000"/>
          <w:sz w:val="22"/>
        </w:rPr>
        <w:t xml:space="preserve">as though it were a Lender;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such Participant agrees to be subject to </w:t>
      </w:r>
      <w:r>
        <w:rPr>
          <w:rFonts w:ascii="Times New Roman" w:hAnsi="Times New Roman"/>
          <w:color w:val="000000"/>
          <w:sz w:val="22"/>
          <w:u w:val="single"/>
        </w:rPr>
        <w:t>Section 2.21</w:t>
      </w:r>
      <w:r>
        <w:rPr>
          <w:color w:val="000000"/>
        </w:rPr>
        <w:t xml:space="preserve"> </w:t>
      </w:r>
      <w:r>
        <w:rPr>
          <w:rFonts w:ascii="Times New Roman" w:hAnsi="Times New Roman"/>
          <w:color w:val="000000"/>
          <w:sz w:val="22"/>
        </w:rPr>
        <w:t>as though it were a Lender. 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color w:val="000000"/>
        </w:rPr>
        <w:t>”</w:t>
      </w:r>
      <w:r>
        <w:rPr>
          <w:rFonts w:ascii="Times New Roman" w:hAnsi="Times New Roman"/>
          <w:color w:val="000000"/>
          <w:sz w:val="22"/>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Loans or other obligations under the Loan Documents are in “registered form” for purposes of the Code. For the avoidance of doubt, the Administrative Agent (in its capacity as Administrative Agent) shall have no responsibility for maintaining a Participant Register. A Participant shall not be entitled to receive any greater payment under </w:t>
      </w:r>
      <w:r>
        <w:rPr>
          <w:rFonts w:ascii="Times New Roman" w:hAnsi="Times New Roman"/>
          <w:color w:val="000000"/>
          <w:sz w:val="22"/>
          <w:u w:val="single"/>
        </w:rPr>
        <w:t>Sections 2.18</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2.20</w:t>
      </w:r>
      <w:r>
        <w:rPr>
          <w:color w:val="000000"/>
        </w:rPr>
        <w:t xml:space="preserve"> </w:t>
      </w:r>
      <w:r>
        <w:rPr>
          <w:rFonts w:ascii="Times New Roman" w:hAnsi="Times New Roman"/>
          <w:color w:val="000000"/>
          <w:sz w:val="22"/>
        </w:rPr>
        <w:t xml:space="preserve">than the applicable Lender would have been entitled to receive with respect to the participation sold to such Participant, unless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the sale of the participation to such Participant is made with the Borrower’s prior written consent. A Participant shall not be entitled to the benefits of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unless the Borrower is notified of the participation sold to such Participant and such Participant agrees, for the benefit of the Borrower, to comply with </w:t>
      </w:r>
      <w:r>
        <w:rPr>
          <w:rFonts w:ascii="Times New Roman" w:hAnsi="Times New Roman"/>
          <w:color w:val="000000"/>
          <w:sz w:val="22"/>
          <w:u w:val="single"/>
        </w:rPr>
        <w:t>Sections 2.20(e)</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2.20(f)</w:t>
      </w:r>
      <w:r>
        <w:rPr>
          <w:color w:val="000000"/>
        </w:rPr>
        <w:t xml:space="preserve"> </w:t>
      </w:r>
      <w:r>
        <w:rPr>
          <w:rFonts w:ascii="Times New Roman" w:hAnsi="Times New Roman"/>
          <w:color w:val="000000"/>
          <w:sz w:val="22"/>
        </w:rPr>
        <w:t>as though it were a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Commitments, or disclosure of confidential information, to any Disqualified Institution. The Administrative Agent shall have the right, and the Borrower hereby expressly authorizes the Administrative Agent, to (A) post the DQ List on the Platform, including that portion of the Platform that is designated for “public side” Lenders or (B) provide the DQ List to each Lender requesting the same.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81" w:name="section_11_5_governing_law__jurisdiction"/>
      <w:bookmarkEnd w:id="481"/>
      <w:r>
        <w:rPr>
          <w:rFonts w:ascii="Times New Roman" w:hAnsi="Times New Roman"/>
          <w:color w:val="000000"/>
          <w:sz w:val="22"/>
        </w:rPr>
        <w:t xml:space="preserve">Section 11.5 </w:t>
      </w:r>
      <w:r>
        <w:rPr>
          <w:rFonts w:ascii="Times New Roman" w:hAnsi="Times New Roman"/>
          <w:color w:val="000000"/>
          <w:sz w:val="22"/>
          <w:u w:val="single"/>
        </w:rPr>
        <w:t>Governing Law; Jurisdiction; Consent to Service of Process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New York.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Each Loan Party hereby irrevocably and unconditionally submits, for itself and its property, to the exclusive jurisdiction of the United States District Court of the Southern District of New York, and of Supreme Court of the State of New York sitting in New York County, Borough of Manhattan and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New York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UCC Sections 4-106, 4-A-105(1)(b) and 5-116(b), and ISP Rule 2.02, and URDG 758 Article 3(a), or (iii) affect which courts have or do not have personal jurisdiction over the issuing bank 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Loan Party irrevocably and unconditionally waives any objection which it may now or hereafter have to the laying of venue of any such suit, action or proceeding described in </w:t>
      </w:r>
      <w:r>
        <w:rPr>
          <w:rFonts w:ascii="Times New Roman" w:hAnsi="Times New Roman"/>
          <w:color w:val="000000"/>
          <w:sz w:val="22"/>
          <w:u w:val="single"/>
        </w:rPr>
        <w:t>Section 11.5(b)</w:t>
      </w:r>
      <w:r>
        <w:rPr>
          <w:color w:val="000000"/>
        </w:rPr>
        <w:t xml:space="preserve"> </w:t>
      </w:r>
      <w:r>
        <w:rPr>
          <w:rFonts w:ascii="Times New Roman" w:hAnsi="Times New Roman"/>
          <w:color w:val="000000"/>
          <w:sz w:val="22"/>
        </w:rPr>
        <w:t xml:space="preserve">and brought in any court referred to in </w:t>
      </w:r>
      <w:r>
        <w:rPr>
          <w:rFonts w:ascii="Times New Roman" w:hAnsi="Times New Roman"/>
          <w:color w:val="000000"/>
          <w:sz w:val="22"/>
          <w:u w:val="single"/>
        </w:rPr>
        <w:t>Section 11.5(b)</w:t>
      </w:r>
      <w:r>
        <w:rPr>
          <w:rFonts w:ascii="Times New Roman" w:hAnsi="Times New Roman"/>
          <w:color w:val="000000"/>
          <w:sz w:val="22"/>
        </w:rPr>
        <w:t>. Each of the parties hereto irrevocably waives, to the fullest extent permitted by applicable Law, the defense of an inconvenient forum to the maintenance of such action or proceeding in any such court.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party to this Agreement irrevocably consents to the service of process in the manner provided for notices in </w:t>
      </w:r>
      <w:r>
        <w:rPr>
          <w:rFonts w:ascii="Times New Roman" w:hAnsi="Times New Roman"/>
          <w:color w:val="000000"/>
          <w:sz w:val="22"/>
          <w:u w:val="single"/>
        </w:rPr>
        <w:t>Section 11.1</w:t>
      </w:r>
      <w:r>
        <w:rPr>
          <w:rFonts w:ascii="Times New Roman" w:hAnsi="Times New Roman"/>
          <w:color w:val="000000"/>
          <w:sz w:val="22"/>
        </w:rPr>
        <w:t>. Nothing in this Agreement or in any other Loan Document will affect the right of any party hereto to serve process in any other manner permitted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11.6 </w:t>
      </w:r>
      <w:r>
        <w:rPr>
          <w:rFonts w:ascii="Times New Roman" w:hAnsi="Times New Roman"/>
          <w:color w:val="000000"/>
          <w:sz w:val="22"/>
          <w:u w:val="single"/>
        </w:rPr>
        <w:t>WAIVER OF JURY TRIAL</w:t>
      </w:r>
      <w:r>
        <w:rPr>
          <w:rFonts w:ascii="Times New Roman" w:hAnsi="Times New Roman"/>
          <w:color w:val="000000"/>
          <w:sz w:val="22"/>
        </w:rPr>
        <w:t xml:space="preserve">.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hAnsi="Times New Roman"/>
          <w:color w:val="000000"/>
          <w:sz w:val="22"/>
          <w:u w:val="single"/>
        </w:rPr>
        <w:t>SECTION 11.6</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11.7 </w:t>
      </w:r>
      <w:r>
        <w:rPr>
          <w:rFonts w:ascii="Times New Roman" w:hAnsi="Times New Roman"/>
          <w:color w:val="000000"/>
          <w:sz w:val="22"/>
          <w:u w:val="single"/>
        </w:rPr>
        <w:t>Right of Setoff</w:t>
      </w:r>
      <w:r>
        <w:rPr>
          <w:rFonts w:ascii="Times New Roman" w:hAnsi="Times New Roman"/>
          <w:color w:val="000000"/>
          <w:sz w:val="22"/>
        </w:rPr>
        <w:t xml:space="preserve">. In addition to any rights now or hereafter granted under applicable Law and not by way of limitation of any such rights, each Lender and the Issuing Bank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and the Issuing Bank to or for the credit or the account of the Borrower against any and all Obligations held by such Lender or the Issuing Bank, as the case may be, irrespective of whether such Lender or the Issuing Bank shall have made demand hereunder and although such Obligations may be unmatured;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olor w:val="000000"/>
          <w:sz w:val="22"/>
          <w:u w:val="single"/>
        </w:rPr>
        <w:t>Section 2.26(b)</w:t>
      </w:r>
      <w:r>
        <w:rPr>
          <w:rFonts w:ascii="Times New Roman" w:hAnsi="Times New Roman"/>
          <w:color w:val="000000"/>
          <w:sz w:val="20"/>
        </w:rPr>
        <w:t xml:space="preserve"> </w:t>
      </w:r>
      <w:r>
        <w:rPr>
          <w:rFonts w:ascii="Times New Roman" w:hAnsi="Times New Roman"/>
          <w:color w:val="000000"/>
          <w:sz w:val="22"/>
        </w:rPr>
        <w:t xml:space="preserve">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Obligations owing to such Defaulting Lender as to which it exercised such right of setoff. Each Lender and the Issuing Bank agree promptly to notify the Administrative Agent and the Borrower after any such set-off and any application made by such Lender and the Issuing Bank, as the case may be; </w:t>
      </w:r>
      <w:r>
        <w:rPr>
          <w:rFonts w:ascii="Times New Roman" w:hAnsi="Times New Roman"/>
          <w:color w:val="000000"/>
          <w:sz w:val="22"/>
          <w:u w:val="single"/>
        </w:rPr>
        <w:t>provided</w:t>
      </w:r>
      <w:r>
        <w:rPr>
          <w:rFonts w:ascii="Times New Roman" w:hAnsi="Times New Roman"/>
          <w:color w:val="000000"/>
          <w:sz w:val="22"/>
        </w:rPr>
        <w:t>, that the failure to give such notice shall not affect the validity of such set-off and application. Each Lender and the Issuing Bank agrees to apply all amounts collected from any such set-off to the Obligations before applying such amounts to any other Indebtedness or other obligations owed by the Borrower and any Subsidiary of Holdings to such Lender or Issuing Bank.</w:t>
      </w:r>
    </w:p>
    <w:p>
      <w:pPr>
        <w:pStyle w:val="TextBody"/>
        <w:bidi w:val="0"/>
        <w:jc w:val="center"/>
        <w:rPr>
          <w:rFonts w:ascii="Times New Roman" w:hAnsi="Times New Roman"/>
          <w:color w:val="000000"/>
          <w:sz w:val="22"/>
        </w:rPr>
      </w:pPr>
      <w:r>
        <w:rPr>
          <w:rFonts w:ascii="Times New Roman" w:hAnsi="Times New Roman"/>
          <w:color w:val="000000"/>
          <w:sz w:val="22"/>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11.8 </w:t>
      </w:r>
      <w:r>
        <w:rPr>
          <w:rFonts w:ascii="Times New Roman" w:hAnsi="Times New Roman"/>
          <w:color w:val="000000"/>
          <w:sz w:val="22"/>
          <w:u w:val="single"/>
        </w:rPr>
        <w:t>Counterparts; Integration</w:t>
      </w:r>
      <w:r>
        <w:rPr>
          <w:rFonts w:ascii="Times New Roman" w:hAnsi="Times New Roman"/>
          <w:color w:val="000000"/>
          <w:sz w:val="22"/>
        </w:rPr>
        <w:t>. This Agreement may be executed by one or more of the parties to this Agreement on any number of separate counterparts (including by telecopy), and all of said counterparts taken together shall be deemed to constitute one and the same instrument. This Agreement, the Fee Letter,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of a signature page of this Agreement and any other Loan Document by facsimile transmission or by any other electronic imaging means (including .pdf), shall be effective as delivery of a manually executed counterpart of this Agreement or such other Loan Document.</w:t>
      </w:r>
    </w:p>
    <w:p>
      <w:pPr>
        <w:pStyle w:val="TextBody"/>
        <w:bidi w:val="0"/>
        <w:spacing w:before="240" w:after="283"/>
        <w:jc w:val="both"/>
        <w:rPr>
          <w:rFonts w:ascii="Times New Roman" w:hAnsi="Times New Roman"/>
          <w:sz w:val="20"/>
        </w:rPr>
      </w:pPr>
      <w:bookmarkStart w:id="482" w:name="section_11_9_survival___all_covenants__a"/>
      <w:bookmarkEnd w:id="482"/>
      <w:r>
        <w:rPr>
          <w:rFonts w:ascii="Times New Roman" w:hAnsi="Times New Roman"/>
          <w:color w:val="000000"/>
          <w:sz w:val="22"/>
        </w:rPr>
        <w:t xml:space="preserve">Section 11.9 </w:t>
      </w:r>
      <w:r>
        <w:rPr>
          <w:rFonts w:ascii="Times New Roman" w:hAnsi="Times New Roman"/>
          <w:color w:val="000000"/>
          <w:sz w:val="22"/>
          <w:u w:val="single"/>
        </w:rPr>
        <w:t>Survival</w:t>
      </w:r>
      <w:r>
        <w:rPr>
          <w:rFonts w:ascii="Times New Roman" w:hAnsi="Times New Roman"/>
          <w:color w:val="000000"/>
          <w:sz w:val="22"/>
        </w:rPr>
        <w:t xml:space="preserve">. All covenants, agreements, representations and warranties made by any Loan Party herein, in the Loan Documents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hAnsi="Times New Roman"/>
          <w:color w:val="000000"/>
          <w:sz w:val="22"/>
          <w:u w:val="single"/>
        </w:rPr>
        <w:t>Sections</w:t>
      </w:r>
      <w:r>
        <w:rPr>
          <w:rFonts w:ascii="Times New Roman" w:hAnsi="Times New Roman"/>
          <w:color w:val="000000"/>
          <w:sz w:val="20"/>
        </w:rPr>
        <w:t xml:space="preserve"> </w:t>
      </w:r>
      <w:r>
        <w:rPr>
          <w:rFonts w:ascii="Times New Roman" w:hAnsi="Times New Roman"/>
          <w:color w:val="000000"/>
          <w:sz w:val="22"/>
          <w:u w:val="single"/>
        </w:rPr>
        <w:t>2.18</w:t>
      </w:r>
      <w:r>
        <w:rPr>
          <w:rFonts w:ascii="Times New Roman" w:hAnsi="Times New Roman"/>
          <w:color w:val="000000"/>
          <w:sz w:val="22"/>
        </w:rPr>
        <w:t xml:space="preserve">, </w:t>
      </w:r>
      <w:r>
        <w:rPr>
          <w:rFonts w:ascii="Times New Roman" w:hAnsi="Times New Roman"/>
          <w:color w:val="000000"/>
          <w:sz w:val="22"/>
          <w:u w:val="single"/>
        </w:rPr>
        <w:t>2.19</w:t>
      </w:r>
      <w:r>
        <w:rPr>
          <w:rFonts w:ascii="Times New Roman" w:hAnsi="Times New Roman"/>
          <w:color w:val="000000"/>
          <w:sz w:val="22"/>
        </w:rPr>
        <w:t xml:space="preserve">, </w:t>
      </w:r>
      <w:r>
        <w:rPr>
          <w:rFonts w:ascii="Times New Roman" w:hAnsi="Times New Roman"/>
          <w:color w:val="000000"/>
          <w:sz w:val="22"/>
          <w:u w:val="single"/>
        </w:rPr>
        <w:t>2.20</w:t>
      </w:r>
      <w:r>
        <w:rPr>
          <w:rFonts w:ascii="Times New Roman" w:hAnsi="Times New Roman"/>
          <w:color w:val="000000"/>
          <w:sz w:val="22"/>
        </w:rPr>
        <w:t xml:space="preserve">, and </w:t>
      </w:r>
      <w:r>
        <w:rPr>
          <w:rFonts w:ascii="Times New Roman" w:hAnsi="Times New Roman"/>
          <w:color w:val="000000"/>
          <w:sz w:val="22"/>
          <w:u w:val="single"/>
        </w:rPr>
        <w:t>11.3,</w:t>
      </w:r>
      <w:r>
        <w:rPr>
          <w:rFonts w:ascii="Times New Roman" w:hAnsi="Times New Roman"/>
          <w:color w:val="000000"/>
          <w:sz w:val="20"/>
        </w:rPr>
        <w:t xml:space="preserve">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and the las sentence of the definition of Applicable Margin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All representations and warranties made herein, in the Loan Documents, in the certificates, reports, notices, and other documents delivered pursuant to this Agreement shall survive the execution and delivery of this Agreement and the other Loan Documents, and the making of the Loans and the issuance of the Letters of Credit.</w:t>
      </w:r>
    </w:p>
    <w:p>
      <w:pPr>
        <w:pStyle w:val="TextBody"/>
        <w:bidi w:val="0"/>
        <w:spacing w:before="240" w:after="283"/>
        <w:jc w:val="both"/>
        <w:rPr>
          <w:rFonts w:ascii="Times New Roman" w:hAnsi="Times New Roman"/>
          <w:sz w:val="20"/>
        </w:rPr>
      </w:pPr>
      <w:bookmarkStart w:id="483" w:name="section_11_10_severability___any_provisi"/>
      <w:bookmarkEnd w:id="483"/>
      <w:r>
        <w:rPr>
          <w:rFonts w:ascii="Times New Roman" w:hAnsi="Times New Roman"/>
          <w:color w:val="000000"/>
          <w:sz w:val="22"/>
        </w:rPr>
        <w:t xml:space="preserve">Section 11.10 </w:t>
      </w:r>
      <w:r>
        <w:rPr>
          <w:rFonts w:ascii="Times New Roman" w:hAnsi="Times New Roman"/>
          <w:color w:val="000000"/>
          <w:sz w:val="22"/>
          <w:u w:val="single"/>
        </w:rPr>
        <w:t>Severability</w:t>
      </w:r>
      <w:r>
        <w:rPr>
          <w:rFonts w:ascii="Times New Roman" w:hAnsi="Times New Roman"/>
          <w:color w:val="000000"/>
          <w:sz w:val="22"/>
        </w:rPr>
        <w:t>.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pStyle w:val="TextBody"/>
        <w:bidi w:val="0"/>
        <w:jc w:val="center"/>
        <w:rPr>
          <w:rFonts w:ascii="Times New Roman" w:hAnsi="Times New Roman"/>
          <w:color w:val="000000"/>
          <w:sz w:val="22"/>
        </w:rPr>
      </w:pPr>
      <w:r>
        <w:rPr>
          <w:rFonts w:ascii="Times New Roman" w:hAnsi="Times New Roman"/>
          <w:color w:val="000000"/>
          <w:sz w:val="22"/>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84" w:name="section_11_11_confidentiality___each_of_"/>
      <w:bookmarkEnd w:id="484"/>
      <w:r>
        <w:rPr>
          <w:rFonts w:ascii="Times New Roman" w:hAnsi="Times New Roman"/>
          <w:color w:val="000000"/>
          <w:sz w:val="22"/>
        </w:rPr>
        <w:t xml:space="preserve">Section 11.11 </w:t>
      </w:r>
      <w:r>
        <w:rPr>
          <w:rFonts w:ascii="Times New Roman" w:hAnsi="Times New Roman"/>
          <w:color w:val="000000"/>
          <w:sz w:val="22"/>
          <w:u w:val="single"/>
        </w:rPr>
        <w:t>Confidentiality</w:t>
      </w:r>
      <w:r>
        <w:rPr>
          <w:rFonts w:ascii="Times New Roman" w:hAnsi="Times New Roman"/>
          <w:color w:val="000000"/>
          <w:sz w:val="22"/>
        </w:rPr>
        <w:t xml:space="preserve">. Each of the Administrative Agent, the Issuing Bank and the Lenders agrees to take normal and reasonable precautions to maintain the confidentiality of any information relating to Holdings, the Borrower or any of their respective Subsidiaries or any of their respective businesses, to the extent designated in writing as confidential and provided to it by Holdings, the Borrower or any Subsidiary, other than any such information that is available to the Administrative Agent, the Issuing Bank or any Lender on a non-confidential basis prior to disclosure by Holdings, the Borrower or any of their respective Subsidiaries, except that such information may be disclosed (i) to any Related Party of the Administrative Agent, the Issuing Bank or any such Lender including without limitation accountants, legal counsel and other advisors, (ii) to the extent required by applicable Laws or regulations or by any subpoena or similar legal process,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w:t>
      </w:r>
      <w:r>
        <w:rPr>
          <w:rFonts w:ascii="Times New Roman" w:hAnsi="Times New Roman"/>
          <w:color w:val="000000"/>
          <w:sz w:val="22"/>
          <w:u w:val="single"/>
        </w:rPr>
        <w:t>Section 11.11</w:t>
      </w:r>
      <w:r>
        <w:rPr>
          <w:rFonts w:ascii="Times New Roman" w:hAnsi="Times New Roman"/>
          <w:color w:val="000000"/>
          <w:sz w:val="22"/>
        </w:rPr>
        <w:t xml:space="preserve">, or which becomes available to the Administrative Agent, the Issuing Bank, any Lender or any Related Party of any of the foregoing on a non-confidential basis from a source other than Holdings, the Borrower or any of their respective Subsidiaries, (v) in connection with the exercise of any remedy hereunder or under any other Loan Documents or any suit, action or proceeding relating to this Agreement or any other Loan Documents or the enforcement of rights hereunder or thereunder, (vi) subject to execution by such Person of an agreement containing provisions substantially the same as those of this </w:t>
      </w:r>
      <w:r>
        <w:rPr>
          <w:rFonts w:ascii="Times New Roman" w:hAnsi="Times New Roman"/>
          <w:color w:val="000000"/>
          <w:sz w:val="22"/>
          <w:u w:val="single"/>
        </w:rPr>
        <w:t>Section 11.11</w:t>
      </w:r>
      <w:r>
        <w:rPr>
          <w:rFonts w:ascii="Times New Roman" w:hAnsi="Times New Roman"/>
          <w:color w:val="000000"/>
          <w:sz w:val="22"/>
        </w:rPr>
        <w:t xml:space="preserve">, to (A) any assignee of or Participant in, or any prospective assignee of or Participant in, any of its rights or obligations under this Agreement, or (B) any actual or prospective party (or its Related Parties) to any swap or derivative or similar transaction under which payments are to be made by reference to the Borrower and its obligations, this Agreement or payments hereunder, (vii) to any rating agency, (viii) to the CUSIP Service Bureau or any similar organization, (ix) the extent required by a potential or actual insurer or reinsurer in connection with providing insurance, reinsurance or credit risk mitigation coverage under which payments are to be made or may be made by reference to this Agreement, or (x) with the consent of the Borrower. Any Person required to maintain the confidentiality of any information as provided for in this </w:t>
      </w:r>
      <w:r>
        <w:rPr>
          <w:rFonts w:ascii="Times New Roman" w:hAnsi="Times New Roman"/>
          <w:color w:val="000000"/>
          <w:sz w:val="22"/>
          <w:u w:val="single"/>
        </w:rPr>
        <w:t>Section 11.11</w:t>
      </w:r>
      <w:r>
        <w:rPr>
          <w:rFonts w:ascii="Times New Roman" w:hAnsi="Times New Roman"/>
          <w:color w:val="000000"/>
          <w:sz w:val="20"/>
        </w:rPr>
        <w:t xml:space="preserve"> </w:t>
      </w:r>
      <w:r>
        <w:rPr>
          <w:rFonts w:ascii="Times New Roman" w:hAnsi="Times New Roman"/>
          <w:color w:val="000000"/>
          <w:sz w:val="22"/>
        </w:rPr>
        <w:t xml:space="preserve">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w:t>
      </w:r>
      <w:r>
        <w:rPr>
          <w:rFonts w:ascii="Times New Roman" w:hAnsi="Times New Roman"/>
          <w:color w:val="000000"/>
          <w:sz w:val="22"/>
          <w:u w:val="single"/>
        </w:rPr>
        <w:t>Section 11.11</w:t>
      </w:r>
      <w:r>
        <w:rPr>
          <w:rFonts w:ascii="Times New Roman" w:hAnsi="Times New Roman"/>
          <w:color w:val="000000"/>
          <w:sz w:val="20"/>
        </w:rPr>
        <w:t xml:space="preserve"> </w:t>
      </w:r>
      <w:r>
        <w:rPr>
          <w:rFonts w:ascii="Times New Roman" w:hAnsi="Times New Roman"/>
          <w:color w:val="000000"/>
          <w:sz w:val="22"/>
        </w:rPr>
        <w:t xml:space="preserve">and those of any other Contractual Obligation entered into with any Loan Party (whether or not a Loan Document), the terms of this </w:t>
      </w:r>
      <w:r>
        <w:rPr>
          <w:rFonts w:ascii="Times New Roman" w:hAnsi="Times New Roman"/>
          <w:color w:val="000000"/>
          <w:sz w:val="22"/>
          <w:u w:val="single"/>
        </w:rPr>
        <w:t>Section 11.11</w:t>
      </w:r>
      <w:r>
        <w:rPr>
          <w:rFonts w:ascii="Times New Roman" w:hAnsi="Times New Roman"/>
          <w:color w:val="000000"/>
          <w:sz w:val="20"/>
        </w:rPr>
        <w:t xml:space="preserve"> </w:t>
      </w:r>
      <w:r>
        <w:rPr>
          <w:rFonts w:ascii="Times New Roman" w:hAnsi="Times New Roman"/>
          <w:color w:val="000000"/>
          <w:sz w:val="22"/>
        </w:rPr>
        <w:t>shall govern. The Arrangers may, at their own expense, place customary tombstone announcements and advertisements or otherwise publicize its engagement hereunder (which may include the reproduction of any Loan Party’s name and logo and other publicly available information) in financial and other newspapers and journals and marketing materials describing its services hereunder. Further, the Arrangers may provide to market data collectors, such as league table, or other service providers to the lending industry, information regarding the closing date, size, type, purpose of, and parties to, the credit facilities established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avoidance of doubt, nothing in this </w:t>
      </w:r>
      <w:r>
        <w:rPr>
          <w:rFonts w:ascii="Times New Roman" w:hAnsi="Times New Roman"/>
          <w:color w:val="000000"/>
          <w:sz w:val="22"/>
          <w:u w:val="single"/>
        </w:rPr>
        <w:t>Section 11.11</w:t>
      </w:r>
      <w:r>
        <w:rPr>
          <w:rFonts w:ascii="Times New Roman" w:hAnsi="Times New Roman"/>
          <w:color w:val="000000"/>
          <w:sz w:val="20"/>
        </w:rPr>
        <w:t xml:space="preserve"> </w:t>
      </w:r>
      <w:r>
        <w:rPr>
          <w:rFonts w:ascii="Times New Roman" w:hAnsi="Times New Roman"/>
          <w:color w:val="000000"/>
          <w:sz w:val="22"/>
        </w:rPr>
        <w:t>shall prohibit or impede any Person from voluntarily disclosing or providing information regarding suspected violations of laws, rules, or regulations to a Governmental Authority or self-regulatory authority without any notification to any Person.</w:t>
      </w:r>
    </w:p>
    <w:p>
      <w:pPr>
        <w:pStyle w:val="TextBody"/>
        <w:bidi w:val="0"/>
        <w:spacing w:before="240" w:after="283"/>
        <w:jc w:val="both"/>
        <w:rPr>
          <w:rFonts w:ascii="Times New Roman" w:hAnsi="Times New Roman"/>
          <w:sz w:val="20"/>
        </w:rPr>
      </w:pPr>
      <w:bookmarkStart w:id="485" w:name="section_11_12_interest_rate_limitation__"/>
      <w:bookmarkEnd w:id="485"/>
      <w:r>
        <w:rPr>
          <w:rFonts w:ascii="Times New Roman" w:hAnsi="Times New Roman"/>
          <w:color w:val="000000"/>
          <w:sz w:val="22"/>
        </w:rPr>
        <w:t xml:space="preserve">Section 11.12 </w:t>
      </w:r>
      <w:r>
        <w:rPr>
          <w:rFonts w:ascii="Times New Roman" w:hAnsi="Times New Roman"/>
          <w:color w:val="000000"/>
          <w:sz w:val="22"/>
          <w:u w:val="single"/>
        </w:rPr>
        <w:t>Interest Rate Limitation</w:t>
      </w:r>
      <w:r>
        <w:rPr>
          <w:rFonts w:ascii="Times New Roman" w:hAnsi="Times New Roman"/>
          <w:color w:val="000000"/>
          <w:sz w:val="22"/>
        </w:rPr>
        <w:t>. Notwithstanding anything herein to the contrary, if at any time the interest rate applicable to any Loan or other Obligation owing under this Agreement, together with all fees, charges and other amounts which may be treated as interest on such Loan or other Obligation under any applicable Law (collectively, the “</w:t>
      </w:r>
      <w:r>
        <w:rPr>
          <w:rFonts w:ascii="Times New Roman" w:hAnsi="Times New Roman"/>
          <w:color w:val="000000"/>
          <w:sz w:val="22"/>
          <w:u w:val="single"/>
        </w:rPr>
        <w:t>Charges</w:t>
      </w:r>
      <w:r>
        <w:rPr>
          <w:rFonts w:ascii="Times New Roman" w:hAnsi="Times New Roman"/>
          <w:color w:val="000000"/>
          <w:sz w:val="20"/>
        </w:rPr>
        <w:t>”</w:t>
      </w:r>
      <w:r>
        <w:rPr>
          <w:rFonts w:ascii="Times New Roman" w:hAnsi="Times New Roman"/>
          <w:color w:val="000000"/>
          <w:sz w:val="22"/>
        </w:rPr>
        <w:t>), shall exceed the maximum lawful rate of interest (the “</w:t>
      </w:r>
      <w:r>
        <w:rPr>
          <w:rFonts w:ascii="Times New Roman" w:hAnsi="Times New Roman"/>
          <w:color w:val="000000"/>
          <w:sz w:val="22"/>
          <w:u w:val="single"/>
        </w:rPr>
        <w:t>Maximum Rate</w:t>
      </w:r>
      <w:r>
        <w:rPr>
          <w:rFonts w:ascii="Times New Roman" w:hAnsi="Times New Roman"/>
          <w:color w:val="000000"/>
          <w:sz w:val="20"/>
        </w:rPr>
        <w:t>”</w:t>
      </w:r>
      <w:r>
        <w:rPr>
          <w:rFonts w:ascii="Times New Roman" w:hAnsi="Times New Roman"/>
          <w:color w:val="000000"/>
          <w:sz w:val="22"/>
        </w:rPr>
        <w:t>) which may be contracted for, charged, taken, received or reserved by a Lender or other Person holding such Loan or other Obligation in accordance with applicable Law, the rate of interest payable in respect of such Loan or other Obligation hereunder, together with all Charges payable in respect thereof, shall be limited to the Maximum Rate and, to the extent lawful, the interest and Charges that would have been payable in respect of such Loan or other Obligation but were not payable as a result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operation of this </w:t>
      </w:r>
      <w:r>
        <w:rPr>
          <w:rFonts w:ascii="Times New Roman" w:hAnsi="Times New Roman"/>
          <w:color w:val="000000"/>
          <w:sz w:val="22"/>
          <w:u w:val="single"/>
        </w:rPr>
        <w:t>Section 11.12</w:t>
      </w:r>
      <w:r>
        <w:rPr>
          <w:rFonts w:ascii="Times New Roman" w:hAnsi="Times New Roman"/>
          <w:color w:val="000000"/>
          <w:sz w:val="20"/>
        </w:rPr>
        <w:t xml:space="preserve"> </w:t>
      </w:r>
      <w:r>
        <w:rPr>
          <w:rFonts w:ascii="Times New Roman" w:hAnsi="Times New Roman"/>
          <w:color w:val="000000"/>
          <w:sz w:val="22"/>
        </w:rPr>
        <w:t>shall be cumulated and the interest and Charges payable to such Lender or other Person in respect of other Loans or Obligations or periods shall be increased (but not above the Maximum Rate therefor) until such cumulated amount, together with interest thereon at the Federal Funds Rate to the date of repayment (to the extent permitted by applicable Law), shall have been received by such Lender or other Person.</w:t>
      </w:r>
    </w:p>
    <w:p>
      <w:pPr>
        <w:pStyle w:val="TextBody"/>
        <w:bidi w:val="0"/>
        <w:spacing w:before="240" w:after="283"/>
        <w:jc w:val="both"/>
        <w:rPr>
          <w:rFonts w:ascii="Times New Roman" w:hAnsi="Times New Roman"/>
          <w:sz w:val="20"/>
        </w:rPr>
      </w:pPr>
      <w:bookmarkStart w:id="486" w:name="section_11_13_waiver_of_effect_of_corpor"/>
      <w:bookmarkEnd w:id="486"/>
      <w:r>
        <w:rPr>
          <w:rFonts w:ascii="Times New Roman" w:hAnsi="Times New Roman"/>
          <w:color w:val="000000"/>
          <w:sz w:val="22"/>
        </w:rPr>
        <w:t xml:space="preserve">Section 11.13 </w:t>
      </w:r>
      <w:r>
        <w:rPr>
          <w:rFonts w:ascii="Times New Roman" w:hAnsi="Times New Roman"/>
          <w:color w:val="000000"/>
          <w:sz w:val="22"/>
          <w:u w:val="single"/>
        </w:rPr>
        <w:t>Waiver of Effect of Corporate Seal.</w:t>
      </w:r>
      <w:r>
        <w:rPr>
          <w:rFonts w:ascii="Times New Roman" w:hAnsi="Times New Roman"/>
          <w:color w:val="000000"/>
          <w:sz w:val="20"/>
        </w:rPr>
        <w:t xml:space="preserve"> </w:t>
      </w:r>
      <w:r>
        <w:rPr>
          <w:rFonts w:ascii="Times New Roman" w:hAnsi="Times New Roman"/>
          <w:color w:val="000000"/>
          <w:sz w:val="22"/>
        </w:rPr>
        <w:t>Each Loan Party represents and warrants to the Administrative Agent and the Lenders that neither it nor any other Loan Party is required to affix its corporate seal to this Agreement or any other Loan Document pursuant to any Law, agrees that this Agreement is delivered by Borrower under seal and waives any shortening of the statute of limitations that may result from not affixing the corporate seal to this Agreement or such other Loan Documents.</w:t>
      </w:r>
    </w:p>
    <w:p>
      <w:pPr>
        <w:pStyle w:val="TextBody"/>
        <w:bidi w:val="0"/>
        <w:spacing w:before="240" w:after="283"/>
        <w:jc w:val="both"/>
        <w:rPr>
          <w:rFonts w:ascii="Times New Roman" w:hAnsi="Times New Roman"/>
          <w:sz w:val="20"/>
        </w:rPr>
      </w:pPr>
      <w:bookmarkStart w:id="487" w:name="section_11_14_patriot_act___the_administ"/>
      <w:bookmarkEnd w:id="487"/>
      <w:r>
        <w:rPr>
          <w:rFonts w:ascii="Times New Roman" w:hAnsi="Times New Roman"/>
          <w:color w:val="000000"/>
          <w:sz w:val="22"/>
        </w:rPr>
        <w:t xml:space="preserve">Section 11.14 </w:t>
      </w:r>
      <w:r>
        <w:rPr>
          <w:rFonts w:ascii="Times New Roman" w:hAnsi="Times New Roman"/>
          <w:color w:val="000000"/>
          <w:sz w:val="22"/>
          <w:u w:val="single"/>
        </w:rPr>
        <w:t>PATRIOT Act</w:t>
      </w:r>
      <w:r>
        <w:rPr>
          <w:rFonts w:ascii="Times New Roman" w:hAnsi="Times New Roman"/>
          <w:color w:val="000000"/>
          <w:sz w:val="22"/>
        </w:rPr>
        <w:t>. The Administrative Agent and each Lender hereby notifies the Loan Parties that, (a) pursuant to the requirements of the PATRIOT Act, it is required to obtain, verify and record information that identifies each Loan Party, which information includes the name and address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such Loan Party and other information that will allow such Lender or the Administrative Agent, as applicable, to identify such Loan Party in accordance with the PATRIOT Act and (b) pursuant to the Beneficial Ownership Regulation, it is required to obtain a Beneficial Ownership Certification.</w:t>
      </w:r>
    </w:p>
    <w:p>
      <w:pPr>
        <w:pStyle w:val="TextBody"/>
        <w:bidi w:val="0"/>
        <w:spacing w:before="240" w:after="283"/>
        <w:jc w:val="both"/>
        <w:rPr>
          <w:rFonts w:ascii="Times New Roman" w:hAnsi="Times New Roman"/>
          <w:sz w:val="20"/>
        </w:rPr>
      </w:pPr>
      <w:bookmarkStart w:id="488" w:name="section_11_15_no_advisory_or_fiduciary_r"/>
      <w:bookmarkEnd w:id="488"/>
      <w:r>
        <w:rPr>
          <w:rFonts w:ascii="Times New Roman" w:hAnsi="Times New Roman"/>
          <w:color w:val="000000"/>
          <w:sz w:val="22"/>
        </w:rPr>
        <w:t xml:space="preserve">Section 11.15 </w:t>
      </w:r>
      <w:r>
        <w:rPr>
          <w:rFonts w:ascii="Times New Roman" w:hAnsi="Times New Roman"/>
          <w:color w:val="000000"/>
          <w:sz w:val="22"/>
          <w:u w:val="single"/>
        </w:rPr>
        <w:t>No Advisory or Fiduciary Responsibility</w:t>
      </w:r>
      <w:r>
        <w:rPr>
          <w:rFonts w:ascii="Times New Roman" w:hAnsi="Times New Roman"/>
          <w:color w:val="000000"/>
          <w:sz w:val="22"/>
        </w:rPr>
        <w:t>. In connection with all aspects of each transaction contemplated hereby (including in connection with any amendment, waiver or other modification hereof or of any other Loan Document), Borrower and each other Loan Party acknowledges and agrees and acknowledges its Affiliates’ understanding that that: (i) (A) the services regarding this Agreement provided by the Administrative Agent, the Arrangers and/or the Lenders are arm’s-length commercial transactions between Borrower, each other Loan Party and their respective Affiliates, on the one hand, and the Administrative Agent, the Arrangers and the Lenders, on the other hand, (B) each of Borrower and the other Loan Parties have consulted their own legal, accounting, regulatory and tax advisors to the extent they have deemed appropriate, and (C) Borrower and each other Loan Party is capable of evaluating and understanding,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none of the Administrative Agent, the Arrangers and any Lender has any obligation to Borrower, any other Loan Party or any of their Affiliates with respect to the transaction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Borrower, the other Loan Parties and their respective Affiliates, and each of the Administrative Agent, the Arrangers and the Lenders has no obligation to disclose any of such interests to Borrower, any other Loan Party of any of their respective Affiliates. To the fullest extent permitted by Law, each of Borrower and the other Loan Parties hereby waive and release, any claims that it may have against the Administrative Agent, the Arrangers and each Lender with respect to any breach or alleged breach of agency or fiduciary duty in connection with any aspect of any transaction contemplated hereby.</w:t>
      </w:r>
    </w:p>
    <w:p>
      <w:pPr>
        <w:pStyle w:val="TextBody"/>
        <w:bidi w:val="0"/>
        <w:jc w:val="center"/>
        <w:rPr>
          <w:rFonts w:ascii="Times New Roman" w:hAnsi="Times New Roman"/>
          <w:color w:val="000000"/>
          <w:sz w:val="22"/>
        </w:rPr>
      </w:pPr>
      <w:r>
        <w:rPr>
          <w:rFonts w:ascii="Times New Roman" w:hAnsi="Times New Roman"/>
          <w:color w:val="000000"/>
          <w:sz w:val="22"/>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89" w:name="section_11_16_electronic_signatures___th"/>
      <w:bookmarkEnd w:id="489"/>
      <w:r>
        <w:rPr>
          <w:rFonts w:ascii="Times New Roman" w:hAnsi="Times New Roman"/>
          <w:color w:val="000000"/>
          <w:sz w:val="22"/>
        </w:rPr>
        <w:t xml:space="preserve">Section 11.16 </w:t>
      </w:r>
      <w:r>
        <w:rPr>
          <w:rFonts w:ascii="Times New Roman" w:hAnsi="Times New Roman"/>
          <w:color w:val="000000"/>
          <w:sz w:val="22"/>
          <w:u w:val="single"/>
        </w:rPr>
        <w:t>Electronic Signatures</w:t>
      </w:r>
      <w:r>
        <w:rPr>
          <w:rFonts w:ascii="Times New Roman" w:hAnsi="Times New Roman"/>
          <w:color w:val="000000"/>
          <w:sz w:val="22"/>
        </w:rPr>
        <w:t xml:space="preserve">.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240" w:after="283"/>
        <w:jc w:val="both"/>
        <w:rPr>
          <w:rFonts w:ascii="Times New Roman" w:hAnsi="Times New Roman"/>
          <w:sz w:val="20"/>
        </w:rPr>
      </w:pPr>
      <w:bookmarkStart w:id="490" w:name="section_11_17_acknowledgement_and_consen"/>
      <w:bookmarkEnd w:id="490"/>
      <w:r>
        <w:rPr>
          <w:rFonts w:ascii="Times New Roman" w:hAnsi="Times New Roman"/>
          <w:color w:val="000000"/>
          <w:sz w:val="22"/>
        </w:rPr>
        <w:t xml:space="preserve">Section 11.17 </w:t>
      </w: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91" w:name="section_11_18_certain_erisa_matters_"/>
      <w:bookmarkEnd w:id="491"/>
      <w:r>
        <w:rPr>
          <w:rFonts w:ascii="Times New Roman" w:hAnsi="Times New Roman"/>
          <w:color w:val="000000"/>
          <w:sz w:val="22"/>
        </w:rPr>
        <w:t xml:space="preserve">Section 11.18 </w:t>
      </w:r>
      <w:r>
        <w:rPr>
          <w:rFonts w:ascii="Times New Roman" w:hAnsi="Times New Roman"/>
          <w:color w:val="000000"/>
          <w:sz w:val="22"/>
          <w:u w:val="single"/>
        </w:rPr>
        <w:t>Certain ERISA Matters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other representation, warranty and covenant as may be agreed in writing between the Administrative Agent, in its sole discretion, and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In addition, unless either (1)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in the immediately preceding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11.18(a)</w:t>
      </w:r>
      <w:r>
        <w:rPr>
          <w:color w:val="000000"/>
        </w:rPr>
        <w:t xml:space="preserve"> </w:t>
      </w:r>
      <w:r>
        <w:rPr>
          <w:rFonts w:ascii="Times New Roman" w:hAnsi="Times New Roman"/>
          <w:color w:val="000000"/>
          <w:sz w:val="22"/>
        </w:rPr>
        <w:t xml:space="preserve">is true with respect to a Lender or (2) a Lender has provided another representation, warranty and covenant in accordance with </w:t>
      </w:r>
      <w:r>
        <w:rPr>
          <w:rFonts w:ascii="Times New Roman" w:hAnsi="Times New Roman"/>
          <w:color w:val="000000"/>
          <w:sz w:val="22"/>
          <w:u w:val="single"/>
        </w:rPr>
        <w:t>Section 11.18(a)(iv)</w:t>
      </w:r>
      <w:r>
        <w:rPr>
          <w:rFonts w:ascii="Times New Roman" w:hAnsi="Times New Roman"/>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92" w:name="section_11_19_acknowledgement_regarding_"/>
      <w:bookmarkEnd w:id="492"/>
      <w:r>
        <w:rPr>
          <w:rFonts w:ascii="Times New Roman" w:hAnsi="Times New Roman"/>
          <w:color w:val="000000"/>
          <w:sz w:val="22"/>
        </w:rPr>
        <w:t xml:space="preserve">Section 11.19 </w:t>
      </w:r>
      <w:r>
        <w:rPr>
          <w:rFonts w:ascii="Times New Roman" w:hAnsi="Times New Roman"/>
          <w:color w:val="000000"/>
          <w:sz w:val="22"/>
          <w:u w:val="single"/>
        </w:rPr>
        <w:t>Acknowledgement Regarding Any Supported QFCs</w:t>
      </w:r>
      <w:r>
        <w:rPr>
          <w:rFonts w:ascii="Times New Roman" w:hAnsi="Times New Roman"/>
          <w:color w:val="000000"/>
          <w:sz w:val="22"/>
        </w:rPr>
        <w:t>. To the extent that the Loan Documents provide support, through a guarantee or otherwise, for Hedging Obligations or any other agreement or instrument that is a QFC (such support, “</w:t>
      </w:r>
      <w:r>
        <w:rPr>
          <w:rFonts w:ascii="Times New Roman" w:hAnsi="Times New Roman"/>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and each such QFC a “</w:t>
      </w:r>
      <w:r>
        <w:rPr>
          <w:rFonts w:ascii="Times New Roman" w:hAnsi="Times New Roman"/>
          <w:color w:val="000000"/>
          <w:sz w:val="22"/>
          <w:u w:val="single"/>
        </w:rPr>
        <w:t>Supported QFC</w:t>
      </w:r>
      <w:r>
        <w:rPr>
          <w:rFonts w:ascii="Times New Roman" w:hAnsi="Times New Roman"/>
          <w:color w:val="000000"/>
          <w:sz w:val="20"/>
        </w:rPr>
        <w:t>”</w:t>
      </w:r>
      <w:r>
        <w:rPr>
          <w:rFonts w:ascii="Times New Roman" w:hAnsi="Times New Roman"/>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2"/>
          <w:u w:val="single"/>
        </w:rPr>
        <w:t>U.S. Special Resolution Regimes</w:t>
      </w:r>
      <w:r>
        <w:rPr>
          <w:rFonts w:ascii="Times New Roman" w:hAnsi="Times New Roman"/>
          <w:color w:val="000000"/>
          <w:sz w:val="20"/>
        </w:rPr>
        <w:t>”</w:t>
      </w:r>
      <w:r>
        <w:rPr>
          <w:rFonts w:ascii="Times New Roman" w:hAnsi="Times New Roman"/>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In the event a Covered Entity that is party to a Supported QFC (each, a “</w:t>
      </w:r>
      <w:r>
        <w:rPr>
          <w:rFonts w:ascii="Times New Roman" w:hAnsi="Times New Roman"/>
          <w:color w:val="000000"/>
          <w:sz w:val="22"/>
          <w:u w:val="single"/>
        </w:rPr>
        <w:t>Covered</w:t>
      </w:r>
      <w:r>
        <w:rPr>
          <w:color w:val="000000"/>
        </w:rPr>
        <w:t xml:space="preserve"> </w:t>
      </w:r>
      <w:r>
        <w:rPr>
          <w:rFonts w:ascii="Times New Roman" w:hAnsi="Times New Roman"/>
          <w:color w:val="000000"/>
          <w:sz w:val="22"/>
          <w:u w:val="single"/>
        </w:rPr>
        <w:t>Party</w:t>
      </w:r>
      <w:r>
        <w:rPr>
          <w:color w:val="000000"/>
        </w:rPr>
        <w:t>”</w:t>
      </w:r>
      <w:r>
        <w:rPr>
          <w:rFonts w:ascii="Times New Roman" w:hAnsi="Times New Roman"/>
          <w:color w:val="000000"/>
          <w:sz w:val="22"/>
        </w:rPr>
        <w:t xml:space="preserve">) becomes subject to a proceeding under a U.S. Special Resolution Regime, the transfer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240" w:after="283"/>
        <w:jc w:val="both"/>
        <w:rPr>
          <w:rFonts w:ascii="Times New Roman" w:hAnsi="Times New Roman"/>
          <w:sz w:val="20"/>
        </w:rPr>
      </w:pPr>
      <w:bookmarkStart w:id="493" w:name="section_11_20_entire_agreement___this_ag"/>
      <w:bookmarkEnd w:id="493"/>
      <w:r>
        <w:rPr>
          <w:rFonts w:ascii="Times New Roman" w:hAnsi="Times New Roman"/>
          <w:color w:val="000000"/>
          <w:sz w:val="22"/>
        </w:rPr>
        <w:t xml:space="preserve">Section 11.20 </w:t>
      </w:r>
      <w:r>
        <w:rPr>
          <w:rFonts w:ascii="Times New Roman" w:hAnsi="Times New Roman"/>
          <w:b/>
          <w:color w:val="000000"/>
          <w:sz w:val="22"/>
          <w:u w:val="single"/>
        </w:rPr>
        <w:t>ENTIRE AGREEMENT</w:t>
      </w:r>
      <w:r>
        <w:rPr>
          <w:rFonts w:ascii="Times New Roman" w:hAnsi="Times New Roman"/>
          <w:b/>
          <w:color w:val="000000"/>
          <w:sz w:val="22"/>
        </w:rPr>
        <w:t>. THIS AGREEMENT AND THE OTHER LOAN DOCUMENTS REPRESENT THE FINAL AGREEMENT AMONG THE PARTIES AND MAY NOT BE CONTRADICTED BY EVIDENCE OF PRIOR</w:t>
      </w:r>
      <w:r>
        <w:rPr>
          <w:rFonts w:ascii="Times New Roman" w:hAnsi="Times New Roman"/>
          <w:color w:val="000000"/>
          <w:sz w:val="22"/>
        </w:rPr>
        <w:t xml:space="preserve">, </w:t>
      </w:r>
      <w:r>
        <w:rPr>
          <w:rFonts w:ascii="Times New Roman" w:hAnsi="Times New Roman"/>
          <w:b/>
          <w:color w:val="000000"/>
          <w:sz w:val="22"/>
        </w:rPr>
        <w:t>CONTEMPORANEOUS</w:t>
      </w:r>
      <w:r>
        <w:rPr>
          <w:rFonts w:ascii="Times New Roman" w:hAnsi="Times New Roman"/>
          <w:color w:val="000000"/>
          <w:sz w:val="22"/>
        </w:rPr>
        <w:t xml:space="preserve">, </w:t>
      </w:r>
      <w:r>
        <w:rPr>
          <w:rFonts w:ascii="Times New Roman" w:hAnsi="Times New Roman"/>
          <w:b/>
          <w:color w:val="000000"/>
          <w:sz w:val="22"/>
        </w:rPr>
        <w:t>OR SUBSEQUENT ORAL AGREEMENTS OF THE PARTIES</w:t>
      </w:r>
      <w:r>
        <w:rPr>
          <w:rFonts w:ascii="Times New Roman" w:hAnsi="Times New Roman"/>
          <w:color w:val="000000"/>
          <w:sz w:val="22"/>
        </w:rPr>
        <w:t xml:space="preserve">. </w:t>
      </w:r>
      <w:r>
        <w:rPr>
          <w:rFonts w:ascii="Times New Roman" w:hAnsi="Times New Roman"/>
          <w:b/>
          <w:color w:val="000000"/>
          <w:sz w:val="22"/>
        </w:rPr>
        <w:t>THERE ARE NO UNWRITTEN ORAL AGREEMENTS AMONG THE PARTIES</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494" w:name="section_11_21_mire_events___each_of_the_"/>
      <w:bookmarkEnd w:id="494"/>
      <w:r>
        <w:rPr>
          <w:rFonts w:ascii="Times New Roman" w:hAnsi="Times New Roman"/>
          <w:color w:val="000000"/>
          <w:sz w:val="22"/>
        </w:rPr>
        <w:t xml:space="preserve">Section 11.21 </w:t>
      </w:r>
      <w:r>
        <w:rPr>
          <w:rFonts w:ascii="Times New Roman" w:hAnsi="Times New Roman"/>
          <w:color w:val="000000"/>
          <w:sz w:val="22"/>
          <w:u w:val="single"/>
        </w:rPr>
        <w:t>MIRE Events</w:t>
      </w:r>
      <w:r>
        <w:rPr>
          <w:rFonts w:ascii="Times New Roman" w:hAnsi="Times New Roman"/>
          <w:color w:val="000000"/>
          <w:sz w:val="22"/>
        </w:rPr>
        <w:t>. Each of the parties hereto acknowledges and agrees that, if at any time there are any Mortgaged Properties or any real property required to be pledged as Collateral hereunder, any increase, extension or renewal of the credit facility evidenced by this Agreement (including the incurrence of any Incremental Facility) shall be subject to prior delivery of flood hazard determinations reasonably requested by the Administrative Agent or any Lender and written confirmation from the Administrative Agent and all Lenders that flood due diligence has been completed.</w:t>
      </w:r>
    </w:p>
    <w:p>
      <w:pPr>
        <w:pStyle w:val="TextBody"/>
        <w:bidi w:val="0"/>
        <w:spacing w:before="240" w:after="283"/>
        <w:jc w:val="both"/>
        <w:rPr>
          <w:rFonts w:ascii="Times New Roman" w:hAnsi="Times New Roman"/>
          <w:sz w:val="20"/>
        </w:rPr>
      </w:pPr>
      <w:bookmarkStart w:id="495" w:name="section_11_22_amendment_and_restatement_"/>
      <w:bookmarkEnd w:id="495"/>
      <w:r>
        <w:rPr>
          <w:rFonts w:ascii="Times New Roman" w:hAnsi="Times New Roman"/>
          <w:color w:val="000000"/>
          <w:sz w:val="22"/>
        </w:rPr>
        <w:t xml:space="preserve">Section 11.22 </w:t>
      </w:r>
      <w:r>
        <w:rPr>
          <w:rFonts w:ascii="Times New Roman" w:hAnsi="Times New Roman"/>
          <w:color w:val="000000"/>
          <w:sz w:val="22"/>
          <w:u w:val="single"/>
        </w:rPr>
        <w:t>Amendment and Restatement</w:t>
      </w:r>
      <w:r>
        <w:rPr>
          <w:rFonts w:ascii="Times New Roman" w:hAnsi="Times New Roman"/>
          <w:color w:val="000000"/>
          <w:sz w:val="22"/>
        </w:rPr>
        <w:t>. The parties hereto agree that, on the Closing Date, the following transactions shall be deemed to occur automatically, without further action by any party hereto: (a) the Existing Credit Agreement shall be deemed to be amended and restated in its entirety pursuant to this Agreement; (b) all Obligations (as defined in the Existing Credit Agreement) under the Existing Credit Agreement outstanding on the Closing Date shall in all respects be continuing and shall be deemed to be Obligations outstanding hereunder; (c) the guaranties made pursuant to the Existing Credit Agreement to the holders of the Obligations (as defined in the Existing Credit Agreement) shall remain in full force and effect with respect to the Obligations and are hereby reaffirmed; (d) the Collateral Documents (as defined in the Existing Credit Agreement) and the Liens created thereunder in favor of Truist Bank, as administrative agent for the benefit of the holders of the Obligations (as defined in the Existing Credit Agreement), shall remain in full force and effect with respect to the Obligations and are hereby reaffirmed; and (e) all references in the other Loan Documents to the Existing Credit Agreement shall be deemed to refer without further amendment to this Agreement.</w:t>
      </w:r>
    </w:p>
    <w:p>
      <w:pPr>
        <w:pStyle w:val="TextBody"/>
        <w:bidi w:val="0"/>
        <w:jc w:val="center"/>
        <w:rPr>
          <w:rFonts w:ascii="Times New Roman" w:hAnsi="Times New Roman"/>
          <w:color w:val="000000"/>
          <w:sz w:val="22"/>
        </w:rPr>
      </w:pPr>
      <w:r>
        <w:rPr>
          <w:rFonts w:ascii="Times New Roman" w:hAnsi="Times New Roman"/>
          <w:color w:val="000000"/>
          <w:sz w:val="22"/>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96" w:name="section_11_23_waiver_of_breakage_costs__"/>
      <w:bookmarkEnd w:id="496"/>
      <w:r>
        <w:rPr>
          <w:rFonts w:ascii="Times New Roman" w:hAnsi="Times New Roman"/>
          <w:color w:val="000000"/>
          <w:sz w:val="22"/>
        </w:rPr>
        <w:t xml:space="preserve">Section 11.23 </w:t>
      </w:r>
      <w:r>
        <w:rPr>
          <w:rFonts w:ascii="Times New Roman" w:hAnsi="Times New Roman"/>
          <w:color w:val="000000"/>
          <w:sz w:val="22"/>
          <w:u w:val="single"/>
        </w:rPr>
        <w:t>Waiver of Breakage Costs</w:t>
      </w:r>
      <w:r>
        <w:rPr>
          <w:rFonts w:ascii="Times New Roman" w:hAnsi="Times New Roman"/>
          <w:color w:val="000000"/>
          <w:sz w:val="22"/>
        </w:rPr>
        <w:t xml:space="preserve">. Inasmuch as loans are outstanding under the Existing Credit Agreement immediately prior to the Closing Date, the Borrower must make prepayments and adjustments on such loans as are necessary to give effect to the Commitments and Pro Rata Share of Loans of the Lenders set forth on </w:t>
      </w:r>
      <w:r>
        <w:rPr>
          <w:rFonts w:ascii="Times New Roman" w:hAnsi="Times New Roman"/>
          <w:color w:val="000000"/>
          <w:sz w:val="22"/>
          <w:u w:val="single"/>
        </w:rPr>
        <w:t>Schedule I</w:t>
      </w:r>
      <w:r>
        <w:rPr>
          <w:rFonts w:ascii="Times New Roman" w:hAnsi="Times New Roman"/>
          <w:color w:val="000000"/>
          <w:sz w:val="22"/>
        </w:rPr>
        <w:t xml:space="preserve">. The Borrower, in consultation with the Administrative Agent, has endeavored to manage the allocation of Commitments and Loans and the selection of Interest Periods with respect to outstanding SOFR Loans (as defined in the Existing Credit Agreement) in such a manner as to minimize break-funding costs. Nonetheless, such prepayments of such Loans under this Agreement likely will cause breakage costs. Notwithstanding anything to the contrary in the provisions of </w:t>
      </w:r>
      <w:r>
        <w:rPr>
          <w:rFonts w:ascii="Times New Roman" w:hAnsi="Times New Roman"/>
          <w:color w:val="000000"/>
          <w:sz w:val="22"/>
          <w:u w:val="single"/>
        </w:rPr>
        <w:t>Section 2.19</w:t>
      </w:r>
      <w:r>
        <w:rPr>
          <w:rFonts w:ascii="Times New Roman" w:hAnsi="Times New Roman"/>
          <w:color w:val="000000"/>
          <w:sz w:val="22"/>
        </w:rPr>
        <w:t>, each of the Lenders party hereto that was party to the Existing Credit Agreement hereby waives its right to receive compensation or reimbursement for such breakage costs: (a) in connection with the reallocation of Commitments and Pro Rata Share of Loans on the Closing Date; and (b) in connection with any resetting of the Interest Period for Loans outstanding as of the Closing Date.</w:t>
      </w:r>
    </w:p>
    <w:p>
      <w:pPr>
        <w:pStyle w:val="TextBody"/>
        <w:bidi w:val="0"/>
        <w:spacing w:before="240" w:after="283"/>
        <w:jc w:val="both"/>
        <w:rPr>
          <w:rFonts w:ascii="Times New Roman" w:hAnsi="Times New Roman"/>
          <w:sz w:val="20"/>
        </w:rPr>
      </w:pPr>
      <w:bookmarkStart w:id="497" w:name="section_11_24_reallocation___the_adminis"/>
      <w:bookmarkEnd w:id="497"/>
      <w:r>
        <w:rPr>
          <w:rFonts w:ascii="Times New Roman" w:hAnsi="Times New Roman"/>
          <w:color w:val="000000"/>
          <w:sz w:val="22"/>
        </w:rPr>
        <w:t xml:space="preserve">Section 11.24 </w:t>
      </w:r>
      <w:r>
        <w:rPr>
          <w:rFonts w:ascii="Times New Roman" w:hAnsi="Times New Roman"/>
          <w:color w:val="000000"/>
          <w:sz w:val="22"/>
          <w:u w:val="single"/>
        </w:rPr>
        <w:t>Reallocation</w:t>
      </w:r>
      <w:r>
        <w:rPr>
          <w:rFonts w:ascii="Times New Roman" w:hAnsi="Times New Roman"/>
          <w:color w:val="000000"/>
          <w:sz w:val="22"/>
        </w:rPr>
        <w:t xml:space="preserve">. The Administrative Agent, the Borrower and the Lenders hereby acknowledge and agree that the Commitment amount(s) of each Lender as set forth on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 xml:space="preserve">is/are the Commitment amounts of such Lender as of the Closing Date, with the reallocation of Loans outstanding under the Commitments of the Lenders as they existed immediately prior to the Closing Date having been made per instructions from the Administrative Agent, and neither any Assignment and Acceptance nor any other action of any Person is required to give effect to such Commitments as set forth on </w:t>
      </w:r>
      <w:r>
        <w:rPr>
          <w:rFonts w:ascii="Times New Roman" w:hAnsi="Times New Roman"/>
          <w:color w:val="000000"/>
          <w:sz w:val="22"/>
          <w:u w:val="single"/>
        </w:rPr>
        <w:t>Schedule I</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spacing w:before="1" w:after="283"/>
        <w:jc w:val="center"/>
        <w:rPr>
          <w:rFonts w:ascii="Times New Roman" w:hAnsi="Times New Roman"/>
          <w:i/>
          <w:color w:val="000000"/>
          <w:sz w:val="22"/>
        </w:rPr>
      </w:pPr>
      <w:r>
        <w:rPr>
          <w:rFonts w:ascii="Times New Roman" w:hAnsi="Times New Roman"/>
          <w:i/>
          <w:color w:val="000000"/>
          <w:sz w:val="22"/>
        </w:rPr>
        <w:t>(remainder of page left intentionally blank)</w:t>
      </w:r>
    </w:p>
    <w:p>
      <w:pPr>
        <w:pStyle w:val="TextBody"/>
        <w:bidi w:val="0"/>
        <w:jc w:val="center"/>
        <w:rPr>
          <w:rFonts w:ascii="Times New Roman" w:hAnsi="Times New Roman"/>
          <w:color w:val="000000"/>
          <w:sz w:val="22"/>
        </w:rPr>
      </w:pPr>
      <w:r>
        <w:rPr>
          <w:rFonts w:ascii="Times New Roman" w:hAnsi="Times New Roman"/>
          <w:color w:val="000000"/>
          <w:sz w:val="22"/>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 xml:space="preserve">IN WITNESS WHEREOF, </w:t>
      </w:r>
      <w:r>
        <w:rPr>
          <w:rFonts w:ascii="Times New Roman" w:hAnsi="Times New Roman"/>
          <w:color w:val="000000"/>
          <w:sz w:val="22"/>
        </w:rPr>
        <w:t>the parties hereto have caused this Agreement to be duly executed by their respective authorized officers as of the day and year first above written.</w:t>
      </w:r>
    </w:p>
    <w:p>
      <w:pPr>
        <w:pStyle w:val="TextBody"/>
        <w:bidi w:val="0"/>
        <w:spacing w:before="61" w:after="283"/>
        <w:jc w:val="left"/>
        <w:rPr/>
      </w:pPr>
      <w:r>
        <w:rPr/>
        <w:t> </w:t>
      </w:r>
    </w:p>
    <w:tbl>
      <w:tblPr>
        <w:tblW w:w="6319" w:type="dxa"/>
        <w:jc w:val="left"/>
        <w:tblInd w:w="0" w:type="dxa"/>
        <w:tblLayout w:type="fixed"/>
        <w:tblCellMar>
          <w:top w:w="28" w:type="dxa"/>
          <w:left w:w="28" w:type="dxa"/>
          <w:bottom w:w="28" w:type="dxa"/>
          <w:right w:w="28" w:type="dxa"/>
        </w:tblCellMar>
      </w:tblPr>
      <w:tblGrid>
        <w:gridCol w:w="1456"/>
        <w:gridCol w:w="436"/>
        <w:gridCol w:w="721"/>
        <w:gridCol w:w="3706"/>
      </w:tblGrid>
      <w:tr>
        <w:trPr/>
        <w:tc>
          <w:tcPr>
            <w:tcW w:w="14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w:t>
            </w:r>
          </w:p>
        </w:tc>
        <w:tc>
          <w:tcPr>
            <w:tcW w:w="4863"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BIOTE MEDICAL,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Texas limited liability company</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Robert Peterson</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Robert Peterson</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Treasurer and Chief Financial Officer </w:t>
            </w:r>
          </w:p>
        </w:tc>
      </w:tr>
    </w:tbl>
    <w:p>
      <w:pPr>
        <w:pStyle w:val="TextBody"/>
        <w:bidi w:val="0"/>
        <w:jc w:val="left"/>
        <w:rPr/>
      </w:pPr>
      <w:r>
        <w:rPr/>
        <w:t> </w:t>
      </w:r>
    </w:p>
    <w:p>
      <w:pPr>
        <w:pStyle w:val="TextBody"/>
        <w:bidi w:val="0"/>
        <w:jc w:val="left"/>
        <w:rPr/>
      </w:pPr>
      <w:r>
        <w:rPr/>
        <w:t> </w:t>
      </w:r>
    </w:p>
    <w:tbl>
      <w:tblPr>
        <w:tblW w:w="6589" w:type="dxa"/>
        <w:jc w:val="left"/>
        <w:tblInd w:w="0" w:type="dxa"/>
        <w:tblLayout w:type="fixed"/>
        <w:tblCellMar>
          <w:top w:w="28" w:type="dxa"/>
          <w:left w:w="28" w:type="dxa"/>
          <w:bottom w:w="28" w:type="dxa"/>
          <w:right w:w="28" w:type="dxa"/>
        </w:tblCellMar>
      </w:tblPr>
      <w:tblGrid>
        <w:gridCol w:w="1726"/>
        <w:gridCol w:w="436"/>
        <w:gridCol w:w="721"/>
        <w:gridCol w:w="3706"/>
      </w:tblGrid>
      <w:tr>
        <w:trPr/>
        <w:tc>
          <w:tcPr>
            <w:tcW w:w="17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GUARANTORS:</w:t>
            </w:r>
          </w:p>
        </w:tc>
        <w:tc>
          <w:tcPr>
            <w:tcW w:w="4863"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BIOTE HOLDINGS,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limited liability company</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Robert Peterson</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Robert Peterson</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Treasurer and Chief Financial Officer </w:t>
            </w:r>
          </w:p>
        </w:tc>
      </w:tr>
    </w:tbl>
    <w:p>
      <w:pPr>
        <w:pStyle w:val="TextBody"/>
        <w:bidi w:val="0"/>
        <w:jc w:val="left"/>
        <w:rPr/>
      </w:pPr>
      <w:r>
        <w:rPr/>
        <w:t> </w:t>
      </w:r>
    </w:p>
    <w:p>
      <w:pPr>
        <w:pStyle w:val="TextBody"/>
        <w:bidi w:val="0"/>
        <w:jc w:val="left"/>
        <w:rPr/>
      </w:pPr>
      <w:r>
        <w:rPr/>
        <w:t> </w:t>
      </w:r>
    </w:p>
    <w:tbl>
      <w:tblPr>
        <w:tblW w:w="5024" w:type="dxa"/>
        <w:jc w:val="left"/>
        <w:tblInd w:w="0" w:type="dxa"/>
        <w:tblLayout w:type="fixed"/>
        <w:tblCellMar>
          <w:top w:w="28" w:type="dxa"/>
          <w:left w:w="28" w:type="dxa"/>
          <w:bottom w:w="28" w:type="dxa"/>
          <w:right w:w="28" w:type="dxa"/>
        </w:tblCellMar>
      </w:tblPr>
      <w:tblGrid>
        <w:gridCol w:w="161"/>
        <w:gridCol w:w="436"/>
        <w:gridCol w:w="721"/>
        <w:gridCol w:w="370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3"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BIOTE IP,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Nevada limited liability company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Robert Peterson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Robert Peterson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Treasurer and Chief Financial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9630" w:type="dxa"/>
        <w:jc w:val="left"/>
        <w:tblInd w:w="0" w:type="dxa"/>
        <w:tblLayout w:type="fixed"/>
        <w:tblCellMar>
          <w:top w:w="28" w:type="dxa"/>
          <w:left w:w="28" w:type="dxa"/>
          <w:bottom w:w="28" w:type="dxa"/>
          <w:right w:w="28" w:type="dxa"/>
        </w:tblCellMar>
      </w:tblPr>
      <w:tblGrid>
        <w:gridCol w:w="2041"/>
        <w:gridCol w:w="1217"/>
        <w:gridCol w:w="2013"/>
        <w:gridCol w:w="4359"/>
      </w:tblGrid>
      <w:tr>
        <w:trPr/>
        <w:tc>
          <w:tcPr>
            <w:tcW w:w="204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4359"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ADMINISTRATIVE</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AGENT:</w:t>
            </w:r>
          </w:p>
        </w:tc>
        <w:tc>
          <w:tcPr>
            <w:tcW w:w="7589"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TRUIST BANK,</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Administrative Agent, as Issuing Bank, as Swingline Lender and as a Lender</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37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Tim Conway</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Tim Conway</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Vice President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64" w:type="dxa"/>
        <w:jc w:val="left"/>
        <w:tblInd w:w="0" w:type="dxa"/>
        <w:tblLayout w:type="fixed"/>
        <w:tblCellMar>
          <w:top w:w="28" w:type="dxa"/>
          <w:left w:w="28" w:type="dxa"/>
          <w:bottom w:w="28" w:type="dxa"/>
          <w:right w:w="28" w:type="dxa"/>
        </w:tblCellMar>
      </w:tblPr>
      <w:tblGrid>
        <w:gridCol w:w="1186"/>
        <w:gridCol w:w="436"/>
        <w:gridCol w:w="721"/>
        <w:gridCol w:w="2221"/>
      </w:tblGrid>
      <w:tr>
        <w:trPr/>
        <w:tc>
          <w:tcPr>
            <w:tcW w:w="118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LENDERS:</w:t>
            </w:r>
          </w:p>
        </w:tc>
        <w:tc>
          <w:tcPr>
            <w:tcW w:w="3378"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BANK OF AMERICA, N.A.,</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94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Alexander L. Rody</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Alexander L. Rody</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Senior Vice President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299" w:type="dxa"/>
        <w:jc w:val="left"/>
        <w:tblInd w:w="0" w:type="dxa"/>
        <w:tblLayout w:type="fixed"/>
        <w:tblCellMar>
          <w:top w:w="28" w:type="dxa"/>
          <w:left w:w="28" w:type="dxa"/>
          <w:bottom w:w="28" w:type="dxa"/>
          <w:right w:w="28" w:type="dxa"/>
        </w:tblCellMar>
      </w:tblPr>
      <w:tblGrid>
        <w:gridCol w:w="161"/>
        <w:gridCol w:w="436"/>
        <w:gridCol w:w="721"/>
        <w:gridCol w:w="198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8"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TEXAS CAPITAL BANK,</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70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Heath Lipson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Heath Lipson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Managing Director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479" w:type="dxa"/>
        <w:jc w:val="left"/>
        <w:tblInd w:w="0" w:type="dxa"/>
        <w:tblLayout w:type="fixed"/>
        <w:tblCellMar>
          <w:top w:w="28" w:type="dxa"/>
          <w:left w:w="28" w:type="dxa"/>
          <w:bottom w:w="28" w:type="dxa"/>
          <w:right w:w="28" w:type="dxa"/>
        </w:tblCellMar>
      </w:tblPr>
      <w:tblGrid>
        <w:gridCol w:w="161"/>
        <w:gridCol w:w="436"/>
        <w:gridCol w:w="721"/>
        <w:gridCol w:w="216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8"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WESTERN ALLIANCE BANK,</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88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Jennifer Hwang</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Jennifer Hwang</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Senior Vice President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005" w:type="dxa"/>
        <w:jc w:val="left"/>
        <w:tblInd w:w="0" w:type="dxa"/>
        <w:tblLayout w:type="fixed"/>
        <w:tblCellMar>
          <w:top w:w="28" w:type="dxa"/>
          <w:left w:w="28" w:type="dxa"/>
          <w:bottom w:w="28" w:type="dxa"/>
          <w:right w:w="28" w:type="dxa"/>
        </w:tblCellMar>
      </w:tblPr>
      <w:tblGrid>
        <w:gridCol w:w="161"/>
        <w:gridCol w:w="1144"/>
        <w:gridCol w:w="1893"/>
        <w:gridCol w:w="4807"/>
      </w:tblGrid>
      <w:tr>
        <w:trPr/>
        <w:tc>
          <w:tcPr>
            <w:tcW w:w="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4"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THE HUNTINGTON NATIONAL BANK, successor by merger to Cadence Bank,</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7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Greg Ratliff</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Greg Ratliff</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Authorized Agent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498" w:name="btmd-ex31_1.htm"/>
      <w:bookmarkStart w:id="499" w:name="ksbtmdex31_1"/>
      <w:bookmarkEnd w:id="498"/>
      <w:bookmarkEnd w:id="499"/>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Bret Christensen,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Quarterly Report on Form 10-Q of biote Corp.;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Bret Christensen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Bret Christensen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500" w:name="btmd-ex31_2.htm"/>
      <w:bookmarkStart w:id="501" w:name="ksbtmdex31_2"/>
      <w:bookmarkEnd w:id="500"/>
      <w:bookmarkEnd w:id="501"/>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Robert C. Peterson,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Quarterly Report on Form 10-Q of biote Corp.;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167" w:type="dxa"/>
        <w:jc w:val="left"/>
        <w:tblInd w:w="0" w:type="dxa"/>
        <w:tblLayout w:type="fixed"/>
        <w:tblCellMar>
          <w:top w:w="28" w:type="dxa"/>
          <w:left w:w="28" w:type="dxa"/>
          <w:bottom w:w="28" w:type="dxa"/>
          <w:right w:w="28" w:type="dxa"/>
        </w:tblCellMar>
      </w:tblPr>
      <w:tblGrid>
        <w:gridCol w:w="1741"/>
        <w:gridCol w:w="109"/>
        <w:gridCol w:w="406"/>
        <w:gridCol w:w="29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 Peterson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 Peterson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sz w:val="20"/>
              </w:rPr>
            </w:pPr>
            <w:r>
              <w:rPr>
                <w:rFonts w:ascii="Times New Roman" w:hAnsi="Times New Roman"/>
                <w:b/>
                <w:color w:val="000000"/>
                <w:sz w:val="20"/>
              </w:rPr>
              <w:t>(Principal Financial Officer and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502" w:name="btmd-ex32_1.htm"/>
      <w:bookmarkStart w:id="503" w:name="ksbtmdex32_1"/>
      <w:bookmarkEnd w:id="502"/>
      <w:bookmarkEnd w:id="503"/>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Bret Christensen, Chief Executive Officer of biote Corp. (the “Company”) hereby certifies that, to the best of my knowledge: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Bret Christensen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Bret Christensen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504" w:name="btmd-ex32_2.htm"/>
      <w:bookmarkStart w:id="505" w:name="ksbtmdex32_2"/>
      <w:bookmarkEnd w:id="504"/>
      <w:bookmarkEnd w:id="505"/>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Robert C. Peterson, Chief Financial Officer of biote Corp. (the “Company”) hereby certifies that, to the best of my knowledge: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2026, to which this Certification is attached as Exhibit 32.2 (the “Periodic Report”), fully complies with the requirements of Section 13(a) or Section 15(d) of the Exchange Act;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bl>
      <w:tblPr>
        <w:tblW w:w="5122" w:type="dxa"/>
        <w:jc w:val="left"/>
        <w:tblInd w:w="0" w:type="dxa"/>
        <w:tblLayout w:type="fixed"/>
        <w:tblCellMar>
          <w:top w:w="28" w:type="dxa"/>
          <w:left w:w="28" w:type="dxa"/>
          <w:bottom w:w="28" w:type="dxa"/>
          <w:right w:w="28" w:type="dxa"/>
        </w:tblCellMar>
      </w:tblPr>
      <w:tblGrid>
        <w:gridCol w:w="1741"/>
        <w:gridCol w:w="109"/>
        <w:gridCol w:w="406"/>
        <w:gridCol w:w="28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C. Peterson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C. Peterson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819253/000119312521356831/d225433dex21.htm" TargetMode="External"/><Relationship Id="rId4" Type="http://schemas.openxmlformats.org/officeDocument/2006/relationships/hyperlink" Target="https://www.sec.gov/Archives/edgar/data/1819253/000119312522166249/d342736dex31.htm" TargetMode="External"/><Relationship Id="rId5" Type="http://schemas.openxmlformats.org/officeDocument/2006/relationships/hyperlink" Target="https://www.sec.gov/Archives/edgar/data/1819253/000119312523044861/d459867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116258</Words>
  <Characters>621482</Characters>
  <CharactersWithSpaces>736521</CharactersWithSpaces>
  <Paragraphs>8159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