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3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6993890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HEYER STEVEN J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6"/>
          </w:tcPr>
          <w:p>
            <w:pPr>
              <w:spacing w:after="0" w:line="103" w:lineRule="exact"/>
              <w:rPr>
                <w:rFonts w:ascii="Times New Roman" w:cs="Times New Roman" w:eastAsia="Times New Roman" w:hAnsi="Times New Roman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1"/>
                  <w:szCs w:val="11"/>
                  <w:color w:val="0000EE"/>
                </w:rPr>
                <w:t xml:space="preserve">biote Corp. </w:t>
              </w:r>
            </w:hyperlink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9"/>
                <w:szCs w:val="9"/>
                <w:color w:val="0000FF"/>
              </w:rPr>
              <w:t>BTMD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BIOTE CORP.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11/15/2022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1875 W. WALNUT HILL LN #100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1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11/16/2022</w:t>
            </w: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IRVING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TX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75038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9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63,392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3.97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ind w:right="156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11/15/2022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63,392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11/14/2032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63,392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-2099945</wp:posOffset>
            </wp:positionV>
            <wp:extent cx="29210" cy="21050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This option vests in equal monthly installments over a three-year period commencing on June 26, 2022, subject to the Reporting Person's continuous service through each such vesting date.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2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This Amendment to the original Form 4 filed on November 16, 2022 (the "Original Form 4") is being filed solely to correct the exercise price in Column 2 of Table II. All other information in the Original Form 4 remains the same.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Marybeth Conlon,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-8890</wp:posOffset>
            </wp:positionV>
            <wp:extent cx="10229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Steven J.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11/18/2022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88087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Heyer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2597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6" w:lineRule="auto"/>
        <w:tabs>
          <w:tab w:leader="none" w:pos="176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161492" TargetMode="External"/><Relationship Id="rId13" Type="http://schemas.openxmlformats.org/officeDocument/2006/relationships/hyperlink" Target="http://www.sec.gov/cgi-bin/browse-edgar?action=getcompany&amp;CIK=0001819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2022-11-18T15:10:46Z</dcterms:created>
  <dcterms:modified xsi:type="dcterms:W3CDTF">2022-11-18T15:10:46Z</dcterms:modified>
</cp:coreProperties>
</file>