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42026_040501.xml.htm"/>
      <w:bookmarkStart w:id="1" w:name="ksform405142026_0405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HEYER ANDREW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BIOTE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1875 W. WALNUT HILL LN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biote Corp.</w:t>
              </w:r>
            </w:hyperlink>
            <w:r>
              <w:rPr/>
              <w:t xml:space="preserve"> [ </w:t>
            </w:r>
            <w:r>
              <w:rPr>
                <w:rFonts w:ascii="Times;serif" w:hAnsi="Times;serif"/>
                <w:color w:val="0000FF"/>
                <w:sz w:val="24"/>
                <w:shd w:fill="FFFFFF" w:val="clear"/>
              </w:rPr>
              <w:t>BTMD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64" w:type="dxa"/>
        <w:jc w:val="left"/>
        <w:tblInd w:w="-7" w:type="dxa"/>
        <w:tblLayout w:type="fixed"/>
        <w:tblCellMar>
          <w:top w:w="60" w:type="dxa"/>
          <w:left w:w="60" w:type="dxa"/>
          <w:bottom w:w="60" w:type="dxa"/>
          <w:right w:w="60" w:type="dxa"/>
        </w:tblCellMar>
      </w:tblPr>
      <w:tblGrid>
        <w:gridCol w:w="102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Settlement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35,259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81,382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Settlement RSU is the economic equivalent of one share of Issuer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Deferred Settlement RSUs are fully vested upon grant, but settlement will be deferred until the date of the Reporting Person's separation from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All shares subject to the option award shall vest on the earlier of May 12, 2027 or the day prior to the date of the Issuer's 2027 Annual Meeting of Stockholders,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Kendal McNeely, as Attorney-in-Fact for Andrew R. Heyer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9062" TargetMode="External"/><Relationship Id="rId5" Type="http://schemas.openxmlformats.org/officeDocument/2006/relationships/hyperlink" Target="http://www.sec.gov/cgi-bin/browse-edgar?action=getcompany&amp;CIK=000181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3606</Characters>
  <CharactersWithSpaces>4212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