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Christensen Bret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BIOTE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W. WALNUT HILL LN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biote Corp.</w:t>
              </w:r>
            </w:hyperlink>
            <w:r>
              <w:rPr/>
              <w:t xml:space="preserve"> [ </w:t>
            </w:r>
            <w:r>
              <w:rPr>
                <w:rFonts w:ascii="Times;serif" w:hAnsi="Times;serif"/>
                <w:color w:val="0000FF"/>
                <w:sz w:val="24"/>
                <w:shd w:fill="FFFFFF" w:val="clear"/>
              </w:rPr>
              <w:t>BTMD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 shares subject to the option award shall vest on the earlier of June 8, 2027 or the day prior to the date of the Issuer's 2027 Annual Meeting of Stockholders, subject to the Reporting Person's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Kendal McNeely, as Attorney-in-Fact for Bret Christensen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7443" TargetMode="External"/><Relationship Id="rId5" Type="http://schemas.openxmlformats.org/officeDocument/2006/relationships/hyperlink" Target="http://www.sec.gov/cgi-bin/browse-edgar?action=getcompany&amp;CIK=000181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3324</Characters>
  <CharactersWithSpaces>3879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