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biote Corp.</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6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980" w:type="dxa"/>
            <w:vAlign w:val="bottom"/>
            <w:gridSpan w:val="2"/>
          </w:tcPr>
          <w:p>
            <w:pPr>
              <w:jc w:val="center"/>
              <w:ind w:left="461"/>
              <w:spacing w:after="0"/>
              <w:rPr>
                <w:sz w:val="20"/>
                <w:szCs w:val="20"/>
                <w:color w:val="auto"/>
              </w:rPr>
            </w:pPr>
            <w:r>
              <w:rPr>
                <w:rFonts w:ascii="Times New Roman" w:cs="Times New Roman" w:eastAsia="Times New Roman" w:hAnsi="Times New Roman"/>
                <w:sz w:val="13"/>
                <w:szCs w:val="13"/>
                <w:b w:val="1"/>
                <w:bCs w:val="1"/>
                <w:color w:val="auto"/>
                <w:w w:val="95"/>
              </w:rPr>
              <w:t>001-40128</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85-1791125</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80" w:type="dxa"/>
            <w:vAlign w:val="bottom"/>
            <w:gridSpan w:val="2"/>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340" w:type="dxa"/>
            <w:vAlign w:val="bottom"/>
          </w:tcPr>
          <w:p>
            <w:pPr>
              <w:spacing w:after="0"/>
              <w:rPr>
                <w:sz w:val="9"/>
                <w:szCs w:val="9"/>
                <w:color w:val="auto"/>
              </w:rPr>
            </w:pPr>
          </w:p>
        </w:tc>
        <w:tc>
          <w:tcPr>
            <w:tcW w:w="2220" w:type="dxa"/>
            <w:vAlign w:val="bottom"/>
            <w:gridSpan w:val="3"/>
          </w:tcPr>
          <w:p>
            <w:pPr>
              <w:jc w:val="center"/>
              <w:ind w:right="42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(Commission</w:t>
            </w:r>
          </w:p>
        </w:tc>
        <w:tc>
          <w:tcPr>
            <w:tcW w:w="24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340" w:type="dxa"/>
            <w:vAlign w:val="bottom"/>
          </w:tcPr>
          <w:p>
            <w:pPr>
              <w:spacing w:after="0"/>
              <w:rPr>
                <w:sz w:val="11"/>
                <w:szCs w:val="11"/>
                <w:color w:val="auto"/>
              </w:rPr>
            </w:pPr>
          </w:p>
        </w:tc>
        <w:tc>
          <w:tcPr>
            <w:tcW w:w="222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3"/>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5"/>
              </w:rPr>
              <w:t>1875 W. Walnut Hill Ln #100</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20" w:type="dxa"/>
            <w:vAlign w:val="bottom"/>
            <w:gridSpan w:val="3"/>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4"/>
              </w:rPr>
              <w:t>Irving, Texas 75038</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gridSpan w:val="6"/>
          </w:tcPr>
          <w:p>
            <w:pPr>
              <w:jc w:val="center"/>
              <w:ind w:left="2406"/>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jc w:val="center"/>
              <w:ind w:left="281"/>
              <w:spacing w:after="0"/>
              <w:rPr>
                <w:sz w:val="20"/>
                <w:szCs w:val="20"/>
                <w:color w:val="auto"/>
              </w:rPr>
            </w:pPr>
            <w:r>
              <w:rPr>
                <w:rFonts w:ascii="Times New Roman" w:cs="Times New Roman" w:eastAsia="Times New Roman" w:hAnsi="Times New Roman"/>
                <w:sz w:val="13"/>
                <w:szCs w:val="13"/>
                <w:b w:val="1"/>
                <w:bCs w:val="1"/>
                <w:color w:val="auto"/>
                <w:w w:val="98"/>
              </w:rPr>
              <w:t>(844) 604-1246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gridSpan w:val="4"/>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240" w:type="dxa"/>
            <w:vAlign w:val="bottom"/>
            <w:gridSpan w:val="6"/>
          </w:tcPr>
          <w:p>
            <w:pPr>
              <w:jc w:val="center"/>
              <w:ind w:left="2386"/>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26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340" w:type="dxa"/>
            <w:vAlign w:val="bottom"/>
          </w:tcPr>
          <w:p>
            <w:pPr>
              <w:spacing w:after="0"/>
              <w:rPr>
                <w:sz w:val="16"/>
                <w:szCs w:val="16"/>
                <w:color w:val="auto"/>
              </w:rPr>
            </w:pPr>
          </w:p>
        </w:tc>
        <w:tc>
          <w:tcPr>
            <w:tcW w:w="222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22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9"/>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Class A common stock, par value $0.0001 per share</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5"/>
              </w:rPr>
              <w:t>BTMD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Pre-commencements communications pursuant to Rule 13e-4(c) under the Exchange Act (17 CFR 240.13e-4(c))</w:t>
      </w:r>
    </w:p>
    <w:p>
      <w:pPr>
        <w:spacing w:after="0" w:line="10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jc w:val="both"/>
        <w:ind w:left="640" w:right="939"/>
        <w:spacing w:after="0" w:line="255" w:lineRule="auto"/>
        <w:rPr>
          <w:sz w:val="20"/>
          <w:szCs w:val="20"/>
          <w:color w:val="auto"/>
        </w:rPr>
      </w:pPr>
      <w:r>
        <w:rPr>
          <w:rFonts w:ascii="Times New Roman" w:cs="Times New Roman" w:eastAsia="Times New Roman" w:hAnsi="Times New Roman"/>
          <w:sz w:val="13"/>
          <w:szCs w:val="13"/>
          <w:color w:val="auto"/>
        </w:rPr>
        <w:t>On April 3, 2026, biote Corp. (the “Company”) posted its Investor Presentation, dated April 2026, on its website. The updated presentation may be obtained at the Investor Relations section of biote’s website at https://ir.biote.com/news-events/presentations. A copy of the Investor Presentation is attached as Exhibit 99.1 hereto and is incorporated herein by reference.</w:t>
      </w:r>
    </w:p>
    <w:p>
      <w:pPr>
        <w:spacing w:after="0" w:line="128" w:lineRule="exact"/>
        <w:rPr>
          <w:sz w:val="20"/>
          <w:szCs w:val="20"/>
          <w:color w:val="auto"/>
        </w:rPr>
      </w:pPr>
    </w:p>
    <w:p>
      <w:pPr>
        <w:ind w:left="640" w:right="699"/>
        <w:spacing w:after="0" w:line="280" w:lineRule="auto"/>
        <w:rPr>
          <w:sz w:val="20"/>
          <w:szCs w:val="20"/>
          <w:color w:val="auto"/>
        </w:rPr>
      </w:pPr>
      <w:r>
        <w:rPr>
          <w:rFonts w:ascii="Times New Roman" w:cs="Times New Roman" w:eastAsia="Times New Roman" w:hAnsi="Times New Roman"/>
          <w:sz w:val="12"/>
          <w:szCs w:val="12"/>
          <w:i w:val="1"/>
          <w:iCs w:val="1"/>
          <w:color w:val="auto"/>
        </w:rPr>
        <w:t>The information provided in Item 7.01 ,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This Current Report on Form 8-K will not be deemed an admission as to the materiality of any information contained in this Item 7.01, including Exhibit 99.1</w:t>
      </w:r>
      <w:r>
        <w:rPr>
          <w:rFonts w:ascii="Times New Roman" w:cs="Times New Roman" w:eastAsia="Times New Roman" w:hAnsi="Times New Roman"/>
          <w:sz w:val="12"/>
          <w:szCs w:val="12"/>
          <w:color w:val="auto"/>
        </w:rPr>
        <w:t>.</w:t>
      </w: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4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 Exhibits.</w:t>
            </w: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10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141"/>
        </w:trPr>
        <w:tc>
          <w:tcPr>
            <w:tcW w:w="6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No.</w:t>
            </w:r>
          </w:p>
        </w:tc>
        <w:tc>
          <w:tcPr>
            <w:tcW w:w="4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1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Investor Presentation.</w:t>
            </w:r>
          </w:p>
        </w:tc>
        <w:tc>
          <w:tcPr>
            <w:tcW w:w="2980" w:type="dxa"/>
            <w:vAlign w:val="bottom"/>
          </w:tcPr>
          <w:p>
            <w:pPr>
              <w:spacing w:after="0"/>
              <w:rPr>
                <w:sz w:val="16"/>
                <w:szCs w:val="16"/>
                <w:color w:val="auto"/>
              </w:rPr>
            </w:pPr>
          </w:p>
        </w:tc>
      </w:tr>
      <w:tr>
        <w:trPr>
          <w:trHeight w:val="236"/>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Exchange Act, the registrant has duly caused this report to be signed on its behalf by the undersigned hereunto duly authorized.</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biote Corp.</w:t>
      </w:r>
    </w:p>
    <w:p>
      <w:pPr>
        <w:spacing w:after="0" w:line="156"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Bret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Bret Christensen</w:t>
      </w:r>
    </w:p>
    <w:p>
      <w:pPr>
        <w:spacing w:after="0" w:line="15"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April 3, 2026</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2026-04-03T15:14:40Z</dcterms:created>
  <dcterms:modified xsi:type="dcterms:W3CDTF">2026-04-03T15:14:40Z</dcterms:modified>
</cp:coreProperties>
</file>